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382412" w:rsidRPr="00F46C79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F46C7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F46C79" w:rsidRDefault="006641FD" w:rsidP="00F17104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201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4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年</w:t>
                    </w:r>
                    <w:r w:rsidR="00F17104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东莞市财政局票据监管中心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部门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决算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   </w:t>
                    </w:r>
                  </w:p>
                </w:tc>
              </w:sdtContent>
            </w:sdt>
          </w:tr>
          <w:tr w:rsidR="00382412" w:rsidRPr="00F46C7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F46C79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F46C79">
            <w:rPr>
              <w:rFonts w:ascii="Times New Roman" w:hAnsi="Times New Roman" w:cs="Times New Roman"/>
            </w:rPr>
            <w:br w:type="page"/>
          </w:r>
        </w:p>
      </w:sdtContent>
    </w:sdt>
    <w:p w:rsidR="00F46C79" w:rsidRDefault="00F46C79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目录</w:t>
      </w:r>
    </w:p>
    <w:p w:rsidR="00F46C79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第一部分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F46C79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F46C79" w:rsidRPr="00F46C79" w:rsidRDefault="00F46C79" w:rsidP="00F46C7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一、部门主要职责</w:t>
      </w:r>
    </w:p>
    <w:p w:rsidR="00F46C79" w:rsidRDefault="00F46C79" w:rsidP="00F46C7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二、部门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单位构成</w:t>
      </w:r>
    </w:p>
    <w:p w:rsidR="005B0BEE" w:rsidRPr="00F46C79" w:rsidRDefault="005B0BEE" w:rsidP="005B0BE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B0BEE">
        <w:rPr>
          <w:rFonts w:ascii="仿宋_GB2312" w:eastAsia="仿宋_GB2312" w:hAnsi="Times New Roman" w:cs="Times New Roman" w:hint="eastAsia"/>
          <w:sz w:val="32"/>
          <w:szCs w:val="32"/>
        </w:rPr>
        <w:t>三、人员情况</w:t>
      </w:r>
    </w:p>
    <w:p w:rsidR="00203E5A" w:rsidRPr="00F46C79" w:rsidRDefault="00203E5A" w:rsidP="00203E5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203E5A" w:rsidRPr="00203E5A" w:rsidRDefault="00203E5A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一、2014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年度部门收入支出决算情况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说明</w:t>
      </w:r>
    </w:p>
    <w:p w:rsidR="00203E5A" w:rsidRPr="00203E5A" w:rsidRDefault="00203E5A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二、2014年一般公共预算“三公”经费支出情况说明</w:t>
      </w:r>
    </w:p>
    <w:p w:rsidR="00F46C79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第三部分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201</w:t>
      </w:r>
      <w:r w:rsidR="007E5FEA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FB7258">
        <w:rPr>
          <w:rFonts w:ascii="Times New Roman" w:eastAsia="黑体" w:hAnsi="Times New Roman" w:cs="Times New Roman" w:hint="eastAsia"/>
          <w:sz w:val="32"/>
          <w:szCs w:val="32"/>
        </w:rPr>
        <w:t>年部门决</w:t>
      </w:r>
      <w:r>
        <w:rPr>
          <w:rFonts w:ascii="Times New Roman" w:eastAsia="黑体" w:hAnsi="Times New Roman" w:cs="Times New Roman" w:hint="eastAsia"/>
          <w:sz w:val="32"/>
          <w:szCs w:val="32"/>
        </w:rPr>
        <w:t>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收入支出决算总表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三、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支出决算表</w:t>
      </w:r>
    </w:p>
    <w:p w:rsidR="00203E5A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财政拨款收入支出决算总表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一般公共预算财政拨款支出决算表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六、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基本支出决算表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七、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“三公”经费支出决算表</w:t>
      </w:r>
    </w:p>
    <w:p w:rsid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八、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政府性基金预算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收入支出决算表</w:t>
      </w: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82412" w:rsidRPr="00FB7258" w:rsidRDefault="00382412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lastRenderedPageBreak/>
        <w:t>第一部分</w:t>
      </w:r>
      <w:r w:rsidRPr="00FB725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FB725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FB725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t>一、部门主要职责</w:t>
      </w:r>
    </w:p>
    <w:p w:rsidR="00F17104" w:rsidRPr="005D1AC2" w:rsidRDefault="00F17104" w:rsidP="00F17104">
      <w:pPr>
        <w:pStyle w:val="a8"/>
        <w:ind w:firstLine="480"/>
        <w:rPr>
          <w:rFonts w:ascii="Times New Roman" w:eastAsia="仿宋_GB2312" w:hAnsi="Times New Roman" w:cs="Times New Roman"/>
          <w:kern w:val="2"/>
          <w:sz w:val="31"/>
          <w:szCs w:val="31"/>
        </w:rPr>
      </w:pPr>
      <w:r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东莞市财政局票据监管中心的职能：贯彻执行国家、省和市有关财政票据管理的规章制度并监督实施；督促执收执罚单位建立健全财政票据管理制度，办理财政票据领用注册登记，发放“票据购领证”，监督检查财政票据的购领、使用、结存及保管情况；对镇（办事处）财政分局财政票据管理工作进行业务指导和培训</w:t>
      </w:r>
      <w:r w:rsidRPr="005D1AC2">
        <w:rPr>
          <w:rFonts w:ascii="Times New Roman" w:eastAsia="仿宋_GB2312" w:hAnsi="Times New Roman" w:cs="Times New Roman" w:hint="eastAsia"/>
          <w:kern w:val="2"/>
          <w:sz w:val="31"/>
          <w:szCs w:val="31"/>
        </w:rPr>
        <w:t>等。</w:t>
      </w:r>
    </w:p>
    <w:p w:rsidR="00382412" w:rsidRPr="00FB725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t>二、部门</w:t>
      </w:r>
      <w:r w:rsidR="00267C10" w:rsidRPr="00FB7258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黑体" w:hAnsi="Times New Roman" w:cs="Times New Roman"/>
          <w:sz w:val="32"/>
          <w:szCs w:val="32"/>
        </w:rPr>
        <w:t>单位构成</w:t>
      </w:r>
    </w:p>
    <w:p w:rsidR="00382412" w:rsidRPr="00FB7258" w:rsidRDefault="00382412" w:rsidP="00DF26D6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F17104" w:rsidRPr="00F17104">
        <w:rPr>
          <w:rFonts w:ascii="Times New Roman" w:eastAsia="仿宋_GB2312" w:hAnsi="Times New Roman" w:cs="Times New Roman" w:hint="eastAsia"/>
          <w:sz w:val="32"/>
          <w:szCs w:val="32"/>
        </w:rPr>
        <w:t>财政局票据监管中心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设</w:t>
      </w:r>
      <w:r w:rsidR="00F17104">
        <w:rPr>
          <w:rFonts w:ascii="Times New Roman" w:eastAsia="仿宋_GB2312" w:hAnsi="Times New Roman" w:cs="Times New Roman" w:hint="eastAsia"/>
          <w:sz w:val="32"/>
          <w:szCs w:val="32"/>
        </w:rPr>
        <w:t>事业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F17104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个，其中，内设</w:t>
      </w:r>
      <w:r w:rsidR="00F17104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个科室、</w:t>
      </w:r>
      <w:r w:rsidR="00F17104" w:rsidRPr="00F17104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派出机构。</w:t>
      </w:r>
    </w:p>
    <w:p w:rsidR="00E22E67" w:rsidRPr="00FB7258" w:rsidRDefault="00E22E67" w:rsidP="00E22E6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proofErr w:type="gramStart"/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份部门</w:t>
      </w:r>
      <w:proofErr w:type="gramEnd"/>
      <w:r w:rsidR="00267C10" w:rsidRPr="00FB7258"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仅包括</w:t>
      </w:r>
      <w:r w:rsidR="00F17104"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F17104" w:rsidRPr="00F17104">
        <w:rPr>
          <w:rFonts w:ascii="Times New Roman" w:eastAsia="仿宋_GB2312" w:hAnsi="Times New Roman" w:cs="Times New Roman" w:hint="eastAsia"/>
          <w:sz w:val="32"/>
          <w:szCs w:val="32"/>
        </w:rPr>
        <w:t>财政局票据监管中心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本级</w:t>
      </w:r>
      <w:r w:rsidR="00267C10" w:rsidRPr="00FB7258"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，本部门</w:t>
      </w:r>
      <w:r w:rsidR="00F17104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下属单位。</w:t>
      </w:r>
    </w:p>
    <w:p w:rsidR="00156ACC" w:rsidRPr="00FB7258" w:rsidRDefault="00156ACC" w:rsidP="00156A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 w:hint="eastAsia"/>
          <w:sz w:val="32"/>
          <w:szCs w:val="32"/>
        </w:rPr>
        <w:t>三、人员情况</w:t>
      </w:r>
    </w:p>
    <w:p w:rsidR="00156ACC" w:rsidRPr="00FB7258" w:rsidRDefault="00267C10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年底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17104"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F17104" w:rsidRPr="00F17104">
        <w:rPr>
          <w:rFonts w:ascii="Times New Roman" w:eastAsia="仿宋_GB2312" w:hAnsi="Times New Roman" w:cs="Times New Roman" w:hint="eastAsia"/>
          <w:sz w:val="32"/>
          <w:szCs w:val="32"/>
        </w:rPr>
        <w:t>财政局票据监管中心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共有事业编制数</w:t>
      </w:r>
      <w:r w:rsidR="00F17104">
        <w:rPr>
          <w:rFonts w:ascii="黑体" w:eastAsia="黑体" w:hAnsi="Times New Roman" w:cs="Times New Roman" w:hint="eastAsia"/>
          <w:b/>
          <w:sz w:val="32"/>
          <w:szCs w:val="32"/>
        </w:rPr>
        <w:t>5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名，其中财政供养的编内实有在职人员</w:t>
      </w:r>
      <w:r w:rsidR="00F17104">
        <w:rPr>
          <w:rFonts w:ascii="黑体" w:eastAsia="黑体" w:hAnsi="Times New Roman" w:cs="Times New Roman" w:hint="eastAsia"/>
          <w:b/>
          <w:sz w:val="32"/>
          <w:szCs w:val="32"/>
        </w:rPr>
        <w:t>3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人。另外，</w:t>
      </w:r>
      <w:r w:rsidR="00F17104">
        <w:rPr>
          <w:rFonts w:ascii="Times New Roman" w:eastAsia="仿宋_GB2312" w:hAnsi="Times New Roman" w:cs="Times New Roman" w:hint="eastAsia"/>
          <w:sz w:val="32"/>
          <w:szCs w:val="32"/>
        </w:rPr>
        <w:t>没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有离退休</w:t>
      </w:r>
      <w:r w:rsidR="00FB7258" w:rsidRPr="00FB7258"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，聘用人员</w:t>
      </w:r>
      <w:r w:rsidR="00F17104">
        <w:rPr>
          <w:rFonts w:ascii="黑体" w:eastAsia="黑体" w:hAnsi="Times New Roman" w:cs="Times New Roman" w:hint="eastAsia"/>
          <w:b/>
          <w:sz w:val="32"/>
          <w:szCs w:val="32"/>
        </w:rPr>
        <w:t>1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 w:rsidR="00F17104">
        <w:rPr>
          <w:rFonts w:ascii="Times New Roman" w:eastAsia="仿宋_GB2312" w:hAnsi="Times New Roman" w:cs="Times New Roman" w:hint="eastAsia"/>
          <w:sz w:val="32"/>
          <w:szCs w:val="32"/>
        </w:rPr>
        <w:t>借用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 w:rsidR="00F17104">
        <w:rPr>
          <w:rFonts w:ascii="黑体" w:eastAsia="黑体" w:hAnsi="Times New Roman" w:cs="Times New Roman" w:hint="eastAsia"/>
          <w:b/>
          <w:sz w:val="32"/>
          <w:szCs w:val="32"/>
        </w:rPr>
        <w:t>3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p w:rsidR="00EB2B04" w:rsidRPr="00F17104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EB2B04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F26D6" w:rsidRPr="00F46C79" w:rsidRDefault="00DF26D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="004A1C5C"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267C10" w:rsidRDefault="004A1C5C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一、</w:t>
      </w:r>
      <w:r w:rsidRPr="00F46C79">
        <w:rPr>
          <w:rFonts w:ascii="Times New Roman" w:eastAsia="黑体" w:hAnsi="Times New Roman" w:cs="Times New Roman"/>
          <w:sz w:val="32"/>
          <w:szCs w:val="32"/>
        </w:rPr>
        <w:t>201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F628AB">
        <w:rPr>
          <w:rFonts w:ascii="Times New Roman" w:eastAsia="黑体" w:hAnsi="Times New Roman" w:cs="Times New Roman" w:hint="eastAsia"/>
          <w:sz w:val="32"/>
          <w:szCs w:val="32"/>
        </w:rPr>
        <w:t>年度部门收入支出决算情况的说明</w:t>
      </w:r>
    </w:p>
    <w:p w:rsidR="00F628AB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（一）总体说明</w:t>
      </w:r>
    </w:p>
    <w:p w:rsidR="00F628AB" w:rsidRPr="00F628AB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28AB"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年度收入总计</w:t>
      </w:r>
      <w:r w:rsidR="00F2538A">
        <w:rPr>
          <w:rFonts w:ascii="Times New Roman" w:eastAsia="仿宋_GB2312" w:hAnsi="Times New Roman" w:cs="Times New Roman" w:hint="eastAsia"/>
          <w:sz w:val="32"/>
          <w:szCs w:val="32"/>
        </w:rPr>
        <w:t>945.25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万元，支出总计</w:t>
      </w:r>
      <w:r w:rsidR="00F2538A">
        <w:rPr>
          <w:rFonts w:ascii="Times New Roman" w:eastAsia="仿宋_GB2312" w:hAnsi="Times New Roman" w:cs="Times New Roman" w:hint="eastAsia"/>
          <w:sz w:val="32"/>
          <w:szCs w:val="32"/>
        </w:rPr>
        <w:t>939.34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万元。收入方面，财政拨款收入</w:t>
      </w:r>
      <w:r w:rsidR="00F2538A">
        <w:rPr>
          <w:rFonts w:ascii="Times New Roman" w:eastAsia="仿宋_GB2312" w:hAnsi="Times New Roman" w:cs="Times New Roman" w:hint="eastAsia"/>
          <w:sz w:val="32"/>
          <w:szCs w:val="32"/>
        </w:rPr>
        <w:t>945.25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年度收入总计的</w:t>
      </w:r>
      <w:r w:rsidR="00F2538A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。支出方面，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F2538A">
        <w:rPr>
          <w:rFonts w:ascii="Times New Roman" w:eastAsia="仿宋_GB2312" w:hAnsi="Times New Roman" w:cs="Times New Roman" w:hint="eastAsia"/>
          <w:sz w:val="32"/>
          <w:szCs w:val="32"/>
        </w:rPr>
        <w:t>936.98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F2538A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F2538A">
        <w:rPr>
          <w:rFonts w:ascii="Times New Roman" w:eastAsia="仿宋_GB2312" w:hAnsi="Times New Roman" w:cs="Times New Roman" w:hint="eastAsia"/>
          <w:sz w:val="32"/>
          <w:szCs w:val="32"/>
        </w:rPr>
        <w:t>2.36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A111B0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28AB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A111B0">
        <w:rPr>
          <w:rFonts w:ascii="Times New Roman" w:eastAsia="仿宋_GB2312" w:hAnsi="Times New Roman" w:cs="Times New Roman" w:hint="eastAsia"/>
          <w:sz w:val="32"/>
          <w:szCs w:val="32"/>
        </w:rPr>
        <w:t>财政拨款支出决算情况说明</w:t>
      </w:r>
    </w:p>
    <w:p w:rsidR="00A111B0" w:rsidRDefault="00A111B0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年度财政拨款支出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939.34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万元，占本年支出合计的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年度财政拨款支出主要用于以下方面：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936.98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99.75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2.36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0.25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6189" w:rsidRPr="007171AD" w:rsidRDefault="007171AD" w:rsidP="007171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、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201</w:t>
      </w:r>
      <w:r w:rsidR="00A111B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“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三公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”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经费</w:t>
      </w:r>
      <w:r w:rsidR="00A111B0">
        <w:rPr>
          <w:rFonts w:ascii="Times New Roman" w:eastAsia="黑体" w:hAnsi="Times New Roman" w:cs="Times New Roman" w:hint="eastAsia"/>
          <w:sz w:val="32"/>
          <w:szCs w:val="32"/>
        </w:rPr>
        <w:t>支出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（一）“三公”经费预算与决算情况对比说明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年度“三公”经费支出预算为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2.3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万元，支出决算为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0.08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万元，完成预算的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3.48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，其中：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因公出国（境）费用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公车购置费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公车运行维护费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公务接待费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0.08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，完成预算的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3.48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年度“三公”经费支出决算少于预算的主要原因是：是认真贯彻落实中央八项规定精神和厉行节约要求，进一步从严控制“三公”经费开支，全年实际支出比预算有所节约。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（二）“三公”</w:t>
      </w:r>
      <w:r w:rsidR="00F44F0E">
        <w:rPr>
          <w:rFonts w:ascii="Times New Roman" w:eastAsia="仿宋_GB2312" w:hAnsi="Times New Roman" w:cs="Times New Roman" w:hint="eastAsia"/>
          <w:sz w:val="32"/>
          <w:szCs w:val="32"/>
        </w:rPr>
        <w:t>支出决算具体情况说明</w:t>
      </w:r>
    </w:p>
    <w:p w:rsidR="00F44F0E" w:rsidRDefault="00F44F0E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年，本部门“三公”经费支出合计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0.08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万元，其中：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因公出国（境）费用支出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公车购置费支出。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公车运行维护费支出。</w:t>
      </w:r>
    </w:p>
    <w:p w:rsidR="00A111B0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（四）公务接待费支出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0.08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万元，全年共接待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批次、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人次，比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年预算减少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2.22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万元，降低</w:t>
      </w:r>
      <w:r w:rsidR="00E6076E">
        <w:rPr>
          <w:rFonts w:ascii="Times New Roman" w:eastAsia="仿宋_GB2312" w:hAnsi="Times New Roman" w:cs="Times New Roman" w:hint="eastAsia"/>
          <w:sz w:val="32"/>
          <w:szCs w:val="32"/>
        </w:rPr>
        <w:t>96.52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F0E" w:rsidRPr="00E6076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44F0E" w:rsidRDefault="00F44F0E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Default="0055358A" w:rsidP="00F44F0E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5358A" w:rsidRPr="0055358A" w:rsidRDefault="0055358A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44F0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171AD" w:rsidRDefault="007171AD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第三部分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201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年部门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>
        <w:rPr>
          <w:rFonts w:ascii="Times New Roman" w:eastAsia="黑体" w:hAnsi="Times New Roman" w:cs="Times New Roman" w:hint="eastAsia"/>
          <w:sz w:val="32"/>
          <w:szCs w:val="32"/>
        </w:rPr>
        <w:t>表</w:t>
      </w:r>
    </w:p>
    <w:p w:rsidR="00EB2B04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详见</w:t>
      </w:r>
      <w:r w:rsidR="00203E5A"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1-8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，请</w:t>
      </w:r>
      <w:r w:rsidR="00203E5A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附件。</w:t>
      </w:r>
    </w:p>
    <w:tbl>
      <w:tblPr>
        <w:tblStyle w:val="a7"/>
        <w:tblW w:w="0" w:type="auto"/>
        <w:tblLook w:val="04A0"/>
      </w:tblPr>
      <w:tblGrid>
        <w:gridCol w:w="1668"/>
        <w:gridCol w:w="6854"/>
      </w:tblGrid>
      <w:tr w:rsidR="00EB2B04" w:rsidTr="00FB7258">
        <w:tc>
          <w:tcPr>
            <w:tcW w:w="1668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表号</w:t>
            </w:r>
          </w:p>
        </w:tc>
        <w:tc>
          <w:tcPr>
            <w:tcW w:w="6854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表名</w:t>
            </w:r>
          </w:p>
        </w:tc>
      </w:tr>
      <w:tr w:rsidR="00EB2B04" w:rsidTr="00FB7258">
        <w:tc>
          <w:tcPr>
            <w:tcW w:w="1668" w:type="dxa"/>
          </w:tcPr>
          <w:p w:rsidR="00EB2B04" w:rsidRPr="00EB2B04" w:rsidRDefault="00203E5A" w:rsidP="00EB2B04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表</w:t>
            </w:r>
            <w:r w:rsidR="00EB2B04" w:rsidRPr="00203E5A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一般公共预算财政拨款支出决算表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基本支出决算表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“三公”经费支出决算表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6854" w:type="dxa"/>
          </w:tcPr>
          <w:p w:rsidR="00EB2B04" w:rsidRDefault="00FB7258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政府性基金预算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收入支出决算表</w:t>
            </w:r>
          </w:p>
        </w:tc>
      </w:tr>
    </w:tbl>
    <w:p w:rsidR="00F46C79" w:rsidRPr="00FB7258" w:rsidRDefault="00F46C79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FB725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A4" w:rsidRDefault="00D847A4" w:rsidP="007171AD">
      <w:r>
        <w:separator/>
      </w:r>
    </w:p>
  </w:endnote>
  <w:endnote w:type="continuationSeparator" w:id="0">
    <w:p w:rsidR="00D847A4" w:rsidRDefault="00D847A4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A4" w:rsidRDefault="00D847A4" w:rsidP="007171AD">
      <w:r>
        <w:separator/>
      </w:r>
    </w:p>
  </w:footnote>
  <w:footnote w:type="continuationSeparator" w:id="0">
    <w:p w:rsidR="00D847A4" w:rsidRDefault="00D847A4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91651"/>
    <w:rsid w:val="000D6C81"/>
    <w:rsid w:val="001519AD"/>
    <w:rsid w:val="00156ACC"/>
    <w:rsid w:val="0016144D"/>
    <w:rsid w:val="00180F1F"/>
    <w:rsid w:val="00203959"/>
    <w:rsid w:val="00203E5A"/>
    <w:rsid w:val="00203FBC"/>
    <w:rsid w:val="00216625"/>
    <w:rsid w:val="002300D7"/>
    <w:rsid w:val="00256189"/>
    <w:rsid w:val="00267C10"/>
    <w:rsid w:val="002B5CF3"/>
    <w:rsid w:val="002E7906"/>
    <w:rsid w:val="002F04EF"/>
    <w:rsid w:val="00326CB1"/>
    <w:rsid w:val="003402E4"/>
    <w:rsid w:val="00347B34"/>
    <w:rsid w:val="003809AC"/>
    <w:rsid w:val="00381456"/>
    <w:rsid w:val="00382412"/>
    <w:rsid w:val="0041378F"/>
    <w:rsid w:val="00451C48"/>
    <w:rsid w:val="00470393"/>
    <w:rsid w:val="004A1C5C"/>
    <w:rsid w:val="004A2B86"/>
    <w:rsid w:val="004E37FD"/>
    <w:rsid w:val="005156A2"/>
    <w:rsid w:val="00515982"/>
    <w:rsid w:val="00521DC7"/>
    <w:rsid w:val="00550794"/>
    <w:rsid w:val="0055358A"/>
    <w:rsid w:val="00592CE7"/>
    <w:rsid w:val="005B0BEE"/>
    <w:rsid w:val="005F1CEA"/>
    <w:rsid w:val="00645FE2"/>
    <w:rsid w:val="00647005"/>
    <w:rsid w:val="006641FD"/>
    <w:rsid w:val="00671B7E"/>
    <w:rsid w:val="00681FB1"/>
    <w:rsid w:val="006B03BF"/>
    <w:rsid w:val="00702D73"/>
    <w:rsid w:val="00712D1F"/>
    <w:rsid w:val="007171AD"/>
    <w:rsid w:val="00744C8D"/>
    <w:rsid w:val="00781D63"/>
    <w:rsid w:val="007822D5"/>
    <w:rsid w:val="007937E4"/>
    <w:rsid w:val="007E292D"/>
    <w:rsid w:val="007E5FEA"/>
    <w:rsid w:val="008206E1"/>
    <w:rsid w:val="008408EC"/>
    <w:rsid w:val="00883E5C"/>
    <w:rsid w:val="008903A2"/>
    <w:rsid w:val="008B4575"/>
    <w:rsid w:val="008D1C3E"/>
    <w:rsid w:val="008D6AFE"/>
    <w:rsid w:val="00902728"/>
    <w:rsid w:val="00915EA7"/>
    <w:rsid w:val="009A1C21"/>
    <w:rsid w:val="009B5280"/>
    <w:rsid w:val="009C339A"/>
    <w:rsid w:val="009D3745"/>
    <w:rsid w:val="00A111B0"/>
    <w:rsid w:val="00A344E0"/>
    <w:rsid w:val="00A43237"/>
    <w:rsid w:val="00A7207A"/>
    <w:rsid w:val="00AB4A48"/>
    <w:rsid w:val="00B071F5"/>
    <w:rsid w:val="00B113F5"/>
    <w:rsid w:val="00B15430"/>
    <w:rsid w:val="00B329A5"/>
    <w:rsid w:val="00B73A19"/>
    <w:rsid w:val="00B7737B"/>
    <w:rsid w:val="00B81F23"/>
    <w:rsid w:val="00BD6A8F"/>
    <w:rsid w:val="00C422EE"/>
    <w:rsid w:val="00C57F59"/>
    <w:rsid w:val="00C62410"/>
    <w:rsid w:val="00C76610"/>
    <w:rsid w:val="00D25B82"/>
    <w:rsid w:val="00D37959"/>
    <w:rsid w:val="00D847A4"/>
    <w:rsid w:val="00DA7C17"/>
    <w:rsid w:val="00DB12CC"/>
    <w:rsid w:val="00DB55CE"/>
    <w:rsid w:val="00DF26D6"/>
    <w:rsid w:val="00DF52EA"/>
    <w:rsid w:val="00E13867"/>
    <w:rsid w:val="00E22E67"/>
    <w:rsid w:val="00E36EDD"/>
    <w:rsid w:val="00E6076E"/>
    <w:rsid w:val="00E60A59"/>
    <w:rsid w:val="00E66D5E"/>
    <w:rsid w:val="00E77156"/>
    <w:rsid w:val="00E83E39"/>
    <w:rsid w:val="00EA131A"/>
    <w:rsid w:val="00EB2B04"/>
    <w:rsid w:val="00EB2D63"/>
    <w:rsid w:val="00F17104"/>
    <w:rsid w:val="00F22D1F"/>
    <w:rsid w:val="00F2538A"/>
    <w:rsid w:val="00F44F0E"/>
    <w:rsid w:val="00F46C79"/>
    <w:rsid w:val="00F628AB"/>
    <w:rsid w:val="00F83552"/>
    <w:rsid w:val="00FA06F8"/>
    <w:rsid w:val="00FA74EE"/>
    <w:rsid w:val="00FB7258"/>
    <w:rsid w:val="00F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171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69AB-1915-4C37-859E-BB3B6993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6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2014年东莞市财政局票据监管中心部门决算   </dc:title>
  <dc:subject/>
  <dc:creator>李峰</dc:creator>
  <cp:keywords/>
  <dc:description/>
  <cp:lastModifiedBy>黎少冰</cp:lastModifiedBy>
  <cp:revision>15</cp:revision>
  <cp:lastPrinted>2015-11-03T04:50:00Z</cp:lastPrinted>
  <dcterms:created xsi:type="dcterms:W3CDTF">2015-10-30T07:05:00Z</dcterms:created>
  <dcterms:modified xsi:type="dcterms:W3CDTF">2015-11-05T05:16:00Z</dcterms:modified>
</cp:coreProperties>
</file>