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F46C79" w:rsidRDefault="006641FD" w:rsidP="00BA763F">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BA763F">
                      <w:rPr>
                        <w:rFonts w:ascii="Times New Roman" w:eastAsiaTheme="majorEastAsia" w:hAnsi="Times New Roman" w:cs="Times New Roman" w:hint="eastAsia"/>
                        <w:sz w:val="80"/>
                        <w:szCs w:val="80"/>
                      </w:rPr>
                      <w:t>东莞市财政局</w:t>
                    </w:r>
                    <w:r w:rsidR="00B67FE9">
                      <w:rPr>
                        <w:rFonts w:ascii="Times New Roman" w:eastAsiaTheme="majorEastAsia" w:hAnsi="Times New Roman" w:cs="Times New Roman" w:hint="eastAsia"/>
                        <w:sz w:val="80"/>
                        <w:szCs w:val="80"/>
                      </w:rPr>
                      <w:t xml:space="preserve"> </w:t>
                    </w:r>
                    <w:r w:rsidR="00BA763F">
                      <w:rPr>
                        <w:rFonts w:ascii="Times New Roman" w:eastAsiaTheme="majorEastAsia" w:hAnsi="Times New Roman" w:cs="Times New Roman" w:hint="eastAsia"/>
                        <w:sz w:val="80"/>
                        <w:szCs w:val="80"/>
                      </w:rPr>
                      <w:t>信息中心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B67FE9" w:rsidRDefault="00382412" w:rsidP="00382412">
                <w:pPr>
                  <w:pStyle w:val="a3"/>
                  <w:jc w:val="center"/>
                  <w:rPr>
                    <w:rFonts w:ascii="Times New Roman" w:eastAsiaTheme="majorEastAsia" w:hAnsi="Times New Roman" w:cs="Times New Roman"/>
                    <w:sz w:val="44"/>
                    <w:szCs w:val="44"/>
                  </w:rPr>
                </w:pPr>
                <w:bookmarkStart w:id="0" w:name="_GoBack"/>
                <w:bookmarkEnd w:id="0"/>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BA763F">
        <w:rPr>
          <w:rFonts w:ascii="Times New Roman" w:eastAsia="黑体" w:hAnsi="Times New Roman" w:cs="Times New Roman" w:hint="eastAsia"/>
          <w:sz w:val="32"/>
          <w:szCs w:val="32"/>
        </w:rPr>
        <w:t>4</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BA763F" w:rsidRPr="00793675" w:rsidRDefault="00BA763F" w:rsidP="00BA763F">
      <w:pPr>
        <w:pStyle w:val="a8"/>
        <w:ind w:firstLine="709"/>
        <w:rPr>
          <w:rFonts w:ascii="Times New Roman" w:eastAsia="仿宋_GB2312" w:hAnsi="Times New Roman" w:cs="Times New Roman"/>
          <w:kern w:val="2"/>
          <w:sz w:val="32"/>
          <w:szCs w:val="32"/>
        </w:rPr>
      </w:pPr>
      <w:r w:rsidRPr="00793675">
        <w:rPr>
          <w:rFonts w:ascii="Times New Roman" w:eastAsia="仿宋_GB2312" w:hAnsi="Times New Roman" w:cs="Times New Roman" w:hint="eastAsia"/>
          <w:kern w:val="2"/>
          <w:sz w:val="32"/>
          <w:szCs w:val="32"/>
        </w:rPr>
        <w:t>贯彻执行国家、省和市关于财政信息化管理的规章制度，并落实相关措施；负责统筹规划财政局及下属事业单位的各项信息化建设工程；负责财政局计算机网络平台的建设、升级、扩容与维护及计算机信息安全保密工作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BA763F" w:rsidRDefault="00BA763F" w:rsidP="00156ACC">
      <w:pPr>
        <w:ind w:firstLineChars="200" w:firstLine="640"/>
        <w:rPr>
          <w:rFonts w:ascii="仿宋_GB2312" w:eastAsia="仿宋_GB2312" w:hAnsi="Times New Roman" w:cs="Times New Roman"/>
          <w:sz w:val="32"/>
          <w:szCs w:val="32"/>
        </w:rPr>
      </w:pPr>
      <w:r w:rsidRPr="00793675">
        <w:rPr>
          <w:rFonts w:ascii="仿宋_GB2312" w:eastAsia="仿宋_GB2312" w:hAnsi="Times New Roman" w:cs="Times New Roman" w:hint="eastAsia"/>
          <w:sz w:val="32"/>
          <w:szCs w:val="32"/>
        </w:rPr>
        <w:t>东莞市财政局信息中心直属东莞市财政局管理，内设1个科室。</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156ACC" w:rsidRPr="00BA763F" w:rsidRDefault="00267C10" w:rsidP="00156ACC">
      <w:pPr>
        <w:ind w:firstLineChars="200" w:firstLine="640"/>
        <w:rPr>
          <w:rFonts w:ascii="仿宋_GB2312" w:eastAsia="仿宋_GB2312" w:hAnsi="Times New Roman" w:cs="Times New Roman"/>
          <w:sz w:val="32"/>
          <w:szCs w:val="32"/>
        </w:rPr>
      </w:pPr>
      <w:r w:rsidRPr="00BA763F">
        <w:rPr>
          <w:rFonts w:ascii="仿宋_GB2312" w:eastAsia="仿宋_GB2312" w:hAnsi="Times New Roman" w:cs="Times New Roman" w:hint="eastAsia"/>
          <w:sz w:val="32"/>
          <w:szCs w:val="32"/>
        </w:rPr>
        <w:t>截至</w:t>
      </w:r>
      <w:r w:rsidR="00156ACC" w:rsidRPr="00BA763F">
        <w:rPr>
          <w:rFonts w:ascii="仿宋_GB2312" w:eastAsia="仿宋_GB2312" w:hAnsi="Times New Roman" w:cs="Times New Roman" w:hint="eastAsia"/>
          <w:sz w:val="32"/>
          <w:szCs w:val="32"/>
        </w:rPr>
        <w:t>201</w:t>
      </w:r>
      <w:r w:rsidRPr="00BA763F">
        <w:rPr>
          <w:rFonts w:ascii="仿宋_GB2312" w:eastAsia="仿宋_GB2312" w:hAnsi="Times New Roman" w:cs="Times New Roman" w:hint="eastAsia"/>
          <w:sz w:val="32"/>
          <w:szCs w:val="32"/>
        </w:rPr>
        <w:t>4年底</w:t>
      </w:r>
      <w:r w:rsidR="00156ACC" w:rsidRPr="00BA763F">
        <w:rPr>
          <w:rFonts w:ascii="仿宋_GB2312" w:eastAsia="仿宋_GB2312" w:hAnsi="Times New Roman" w:cs="Times New Roman" w:hint="eastAsia"/>
          <w:sz w:val="32"/>
          <w:szCs w:val="32"/>
        </w:rPr>
        <w:t>，</w:t>
      </w:r>
      <w:r w:rsidR="00BA763F" w:rsidRPr="00BA763F">
        <w:rPr>
          <w:rFonts w:ascii="仿宋_GB2312" w:eastAsia="仿宋_GB2312" w:hAnsi="Times New Roman" w:cs="Times New Roman" w:hint="eastAsia"/>
          <w:sz w:val="32"/>
          <w:szCs w:val="32"/>
        </w:rPr>
        <w:t>东莞市财政局信息中心</w:t>
      </w:r>
      <w:r w:rsidR="00156ACC" w:rsidRPr="00BA763F">
        <w:rPr>
          <w:rFonts w:ascii="仿宋_GB2312" w:eastAsia="仿宋_GB2312" w:hAnsi="Times New Roman" w:cs="Times New Roman" w:hint="eastAsia"/>
          <w:sz w:val="32"/>
          <w:szCs w:val="32"/>
        </w:rPr>
        <w:t>共有事业编制数</w:t>
      </w:r>
      <w:r w:rsidR="00BA763F" w:rsidRPr="00BA763F">
        <w:rPr>
          <w:rFonts w:ascii="仿宋_GB2312" w:eastAsia="仿宋_GB2312" w:hAnsi="Times New Roman" w:cs="Times New Roman" w:hint="eastAsia"/>
          <w:b/>
          <w:sz w:val="32"/>
          <w:szCs w:val="32"/>
        </w:rPr>
        <w:t>5</w:t>
      </w:r>
      <w:r w:rsidR="00156ACC" w:rsidRPr="00BA763F">
        <w:rPr>
          <w:rFonts w:ascii="仿宋_GB2312" w:eastAsia="仿宋_GB2312" w:hAnsi="Times New Roman" w:cs="Times New Roman" w:hint="eastAsia"/>
          <w:sz w:val="32"/>
          <w:szCs w:val="32"/>
        </w:rPr>
        <w:t>名，其中财政供养的编内实有在职人员</w:t>
      </w:r>
      <w:r w:rsidR="00BA763F" w:rsidRPr="00BA763F">
        <w:rPr>
          <w:rFonts w:ascii="仿宋_GB2312" w:eastAsia="仿宋_GB2312" w:hAnsi="Times New Roman" w:cs="Times New Roman" w:hint="eastAsia"/>
          <w:b/>
          <w:sz w:val="32"/>
          <w:szCs w:val="32"/>
        </w:rPr>
        <w:t>3</w:t>
      </w:r>
      <w:r w:rsidR="00156ACC" w:rsidRPr="00BA763F">
        <w:rPr>
          <w:rFonts w:ascii="仿宋_GB2312" w:eastAsia="仿宋_GB2312" w:hAnsi="Times New Roman" w:cs="Times New Roman" w:hint="eastAsia"/>
          <w:sz w:val="32"/>
          <w:szCs w:val="32"/>
        </w:rPr>
        <w:t>人。</w:t>
      </w:r>
    </w:p>
    <w:p w:rsidR="00EB2B04" w:rsidRPr="00FB7258"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203E5A" w:rsidRDefault="00203E5A" w:rsidP="00DF26D6">
      <w:pPr>
        <w:jc w:val="cente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BA763F" w:rsidRDefault="00BA763F" w:rsidP="00BA763F">
      <w:pPr>
        <w:spacing w:line="600" w:lineRule="exact"/>
        <w:ind w:firstLineChars="196" w:firstLine="627"/>
        <w:rPr>
          <w:rFonts w:ascii="Times New Roman" w:eastAsia="仿宋_GB2312" w:hAnsi="Times New Roman" w:cs="Times New Roman"/>
          <w:sz w:val="32"/>
          <w:szCs w:val="32"/>
        </w:rPr>
      </w:pPr>
      <w:r w:rsidRPr="00060ED4">
        <w:rPr>
          <w:rFonts w:ascii="仿宋_GB2312" w:eastAsia="仿宋_GB2312" w:hAnsi="Times New Roman" w:cs="Times New Roman" w:hint="eastAsia"/>
          <w:sz w:val="32"/>
          <w:szCs w:val="32"/>
        </w:rPr>
        <w:t>本部门2014年度收入总计239.9万元，支出总计525.82万元。收入方面，财政拨款收入239.9万元，占2014年度收入总计的100</w:t>
      </w:r>
      <w:r w:rsidRPr="00060ED4">
        <w:rPr>
          <w:rFonts w:ascii="仿宋_GB2312" w:eastAsia="仿宋_GB2312" w:hAnsi="Times New Roman" w:hint="eastAsia"/>
          <w:sz w:val="32"/>
          <w:szCs w:val="32"/>
        </w:rPr>
        <w:t>%</w:t>
      </w:r>
      <w:r w:rsidRPr="00060ED4">
        <w:rPr>
          <w:rFonts w:ascii="仿宋_GB2312" w:eastAsia="仿宋_GB2312" w:hAnsi="Times New Roman" w:cs="Times New Roman" w:hint="eastAsia"/>
          <w:sz w:val="32"/>
          <w:szCs w:val="32"/>
        </w:rPr>
        <w:t>。支出方面，一般公共服务支出522.62万元，住房保障支出3.2万元</w:t>
      </w:r>
      <w:r w:rsidRPr="00F46C79">
        <w:rPr>
          <w:rFonts w:ascii="Times New Roman" w:eastAsia="仿宋_GB2312" w:hAnsi="Times New Roman" w:cs="Times New Roman"/>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060ED4" w:rsidRDefault="00A111B0" w:rsidP="00F46C79">
      <w:pPr>
        <w:ind w:firstLineChars="200" w:firstLine="640"/>
        <w:rPr>
          <w:rFonts w:ascii="仿宋_GB2312" w:eastAsia="仿宋_GB2312" w:hAnsi="Times New Roman" w:cs="Times New Roman"/>
          <w:sz w:val="32"/>
          <w:szCs w:val="32"/>
        </w:rPr>
      </w:pPr>
      <w:r w:rsidRPr="00060ED4">
        <w:rPr>
          <w:rFonts w:ascii="仿宋_GB2312" w:eastAsia="仿宋_GB2312" w:hAnsi="Times New Roman" w:cs="Times New Roman" w:hint="eastAsia"/>
          <w:sz w:val="32"/>
          <w:szCs w:val="32"/>
        </w:rPr>
        <w:t>本部门2014年度财政拨款支出</w:t>
      </w:r>
      <w:r w:rsidR="00060ED4" w:rsidRPr="00060ED4">
        <w:rPr>
          <w:rFonts w:ascii="仿宋_GB2312" w:eastAsia="仿宋_GB2312" w:hAnsi="Times New Roman" w:cs="Times New Roman" w:hint="eastAsia"/>
          <w:sz w:val="32"/>
          <w:szCs w:val="32"/>
        </w:rPr>
        <w:t>525.82</w:t>
      </w:r>
      <w:r w:rsidRPr="00060ED4">
        <w:rPr>
          <w:rFonts w:ascii="仿宋_GB2312" w:eastAsia="仿宋_GB2312" w:hAnsi="Times New Roman" w:cs="Times New Roman" w:hint="eastAsia"/>
          <w:sz w:val="32"/>
          <w:szCs w:val="32"/>
        </w:rPr>
        <w:t>万元，占本年支出合计的</w:t>
      </w:r>
      <w:r w:rsidR="00060ED4" w:rsidRPr="00060ED4">
        <w:rPr>
          <w:rFonts w:ascii="仿宋_GB2312" w:eastAsia="仿宋_GB2312" w:hAnsi="Times New Roman" w:cs="Times New Roman" w:hint="eastAsia"/>
          <w:sz w:val="32"/>
          <w:szCs w:val="32"/>
        </w:rPr>
        <w:t>100</w:t>
      </w:r>
      <w:r w:rsidRPr="00060ED4">
        <w:rPr>
          <w:rFonts w:ascii="仿宋_GB2312" w:eastAsia="仿宋_GB2312" w:hAnsi="Times New Roman" w:cs="Times New Roman" w:hint="eastAsia"/>
          <w:sz w:val="32"/>
          <w:szCs w:val="32"/>
        </w:rPr>
        <w:t>%。2014年度财政拨款支出主要用于以下方面：一般公共服务支出</w:t>
      </w:r>
      <w:r w:rsidR="00060ED4" w:rsidRPr="00060ED4">
        <w:rPr>
          <w:rFonts w:ascii="仿宋_GB2312" w:eastAsia="仿宋_GB2312" w:hAnsi="Times New Roman" w:cs="Times New Roman" w:hint="eastAsia"/>
          <w:sz w:val="32"/>
          <w:szCs w:val="32"/>
        </w:rPr>
        <w:t>522.62</w:t>
      </w:r>
      <w:r w:rsidRPr="00060ED4">
        <w:rPr>
          <w:rFonts w:ascii="仿宋_GB2312" w:eastAsia="仿宋_GB2312" w:hAnsi="Times New Roman" w:cs="Times New Roman" w:hint="eastAsia"/>
          <w:sz w:val="32"/>
          <w:szCs w:val="32"/>
        </w:rPr>
        <w:t>万元，占</w:t>
      </w:r>
      <w:r w:rsidR="00060ED4">
        <w:rPr>
          <w:rFonts w:ascii="仿宋_GB2312" w:eastAsia="仿宋_GB2312" w:hAnsi="Times New Roman" w:cs="Times New Roman" w:hint="eastAsia"/>
          <w:sz w:val="32"/>
          <w:szCs w:val="32"/>
        </w:rPr>
        <w:t>99.39</w:t>
      </w:r>
      <w:r w:rsidRPr="00060ED4">
        <w:rPr>
          <w:rFonts w:ascii="仿宋_GB2312" w:eastAsia="仿宋_GB2312" w:hAnsi="Times New Roman" w:cs="Times New Roman" w:hint="eastAsia"/>
          <w:sz w:val="32"/>
          <w:szCs w:val="32"/>
        </w:rPr>
        <w:t>%；</w:t>
      </w:r>
      <w:r w:rsidR="00060ED4" w:rsidRPr="00060ED4">
        <w:rPr>
          <w:rFonts w:ascii="仿宋_GB2312" w:eastAsia="仿宋_GB2312" w:hAnsi="Times New Roman" w:cs="Times New Roman" w:hint="eastAsia"/>
          <w:sz w:val="32"/>
          <w:szCs w:val="32"/>
        </w:rPr>
        <w:t>住房保障支出3.2万元</w:t>
      </w:r>
      <w:r w:rsidRPr="00060ED4">
        <w:rPr>
          <w:rFonts w:ascii="仿宋_GB2312" w:eastAsia="仿宋_GB2312" w:hAnsi="Times New Roman" w:cs="Times New Roman" w:hint="eastAsia"/>
          <w:sz w:val="32"/>
          <w:szCs w:val="32"/>
        </w:rPr>
        <w:t>，占</w:t>
      </w:r>
      <w:r w:rsidR="00060ED4">
        <w:rPr>
          <w:rFonts w:ascii="仿宋_GB2312" w:eastAsia="仿宋_GB2312" w:hAnsi="Times New Roman" w:cs="Times New Roman" w:hint="eastAsia"/>
          <w:sz w:val="32"/>
          <w:szCs w:val="32"/>
        </w:rPr>
        <w:t>0.61</w:t>
      </w:r>
      <w:r w:rsidRPr="00060ED4">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060ED4" w:rsidRDefault="00A111B0" w:rsidP="00D37959">
      <w:pPr>
        <w:ind w:firstLineChars="200" w:firstLine="640"/>
        <w:rPr>
          <w:rFonts w:ascii="仿宋_GB2312" w:eastAsia="仿宋_GB2312" w:hAnsi="Times New Roman" w:cs="Times New Roman"/>
          <w:sz w:val="32"/>
          <w:szCs w:val="32"/>
        </w:rPr>
      </w:pPr>
      <w:r w:rsidRPr="00060ED4">
        <w:rPr>
          <w:rFonts w:ascii="仿宋_GB2312" w:eastAsia="仿宋_GB2312" w:hAnsi="Times New Roman" w:cs="Times New Roman" w:hint="eastAsia"/>
          <w:sz w:val="32"/>
          <w:szCs w:val="32"/>
        </w:rPr>
        <w:t>本部门2014年度“三公”经费支出预算为</w:t>
      </w:r>
      <w:r w:rsidR="00060ED4">
        <w:rPr>
          <w:rFonts w:ascii="仿宋_GB2312" w:eastAsia="仿宋_GB2312" w:hAnsi="Times New Roman" w:cs="Times New Roman" w:hint="eastAsia"/>
          <w:sz w:val="32"/>
          <w:szCs w:val="32"/>
        </w:rPr>
        <w:t>0.9</w:t>
      </w:r>
      <w:r w:rsidRPr="00060ED4">
        <w:rPr>
          <w:rFonts w:ascii="仿宋_GB2312" w:eastAsia="仿宋_GB2312" w:hAnsi="Times New Roman" w:cs="Times New Roman" w:hint="eastAsia"/>
          <w:sz w:val="32"/>
          <w:szCs w:val="32"/>
        </w:rPr>
        <w:t>万元，支出决算为</w:t>
      </w:r>
      <w:r w:rsidR="00060ED4">
        <w:rPr>
          <w:rFonts w:ascii="仿宋_GB2312" w:eastAsia="仿宋_GB2312" w:hAnsi="Times New Roman" w:cs="Times New Roman" w:hint="eastAsia"/>
          <w:sz w:val="32"/>
          <w:szCs w:val="32"/>
        </w:rPr>
        <w:t>0</w:t>
      </w:r>
      <w:r w:rsidRPr="00060ED4">
        <w:rPr>
          <w:rFonts w:ascii="仿宋_GB2312" w:eastAsia="仿宋_GB2312" w:hAnsi="Times New Roman" w:cs="Times New Roman" w:hint="eastAsia"/>
          <w:sz w:val="32"/>
          <w:szCs w:val="32"/>
        </w:rPr>
        <w:t>万元，其中：因公出国（境）费用</w:t>
      </w:r>
      <w:r w:rsidR="00060ED4">
        <w:rPr>
          <w:rFonts w:ascii="仿宋_GB2312" w:eastAsia="仿宋_GB2312" w:hAnsi="Times New Roman" w:cs="Times New Roman" w:hint="eastAsia"/>
          <w:sz w:val="32"/>
          <w:szCs w:val="32"/>
        </w:rPr>
        <w:t>0</w:t>
      </w:r>
      <w:r w:rsidRPr="00060ED4">
        <w:rPr>
          <w:rFonts w:ascii="仿宋_GB2312" w:eastAsia="仿宋_GB2312" w:hAnsi="Times New Roman" w:cs="Times New Roman" w:hint="eastAsia"/>
          <w:sz w:val="32"/>
          <w:szCs w:val="32"/>
        </w:rPr>
        <w:t>万元；公车购置费</w:t>
      </w:r>
      <w:r w:rsidR="00060ED4">
        <w:rPr>
          <w:rFonts w:ascii="仿宋_GB2312" w:eastAsia="仿宋_GB2312" w:hAnsi="Times New Roman" w:cs="Times New Roman" w:hint="eastAsia"/>
          <w:sz w:val="32"/>
          <w:szCs w:val="32"/>
        </w:rPr>
        <w:t>0</w:t>
      </w:r>
      <w:r w:rsidRPr="00060ED4">
        <w:rPr>
          <w:rFonts w:ascii="仿宋_GB2312" w:eastAsia="仿宋_GB2312" w:hAnsi="Times New Roman" w:cs="Times New Roman" w:hint="eastAsia"/>
          <w:sz w:val="32"/>
          <w:szCs w:val="32"/>
        </w:rPr>
        <w:t>万元；公车运行维护费</w:t>
      </w:r>
      <w:r w:rsidR="00060ED4">
        <w:rPr>
          <w:rFonts w:ascii="仿宋_GB2312" w:eastAsia="仿宋_GB2312" w:hAnsi="Times New Roman" w:cs="Times New Roman" w:hint="eastAsia"/>
          <w:sz w:val="32"/>
          <w:szCs w:val="32"/>
        </w:rPr>
        <w:t>0</w:t>
      </w:r>
      <w:r w:rsidRPr="00060ED4">
        <w:rPr>
          <w:rFonts w:ascii="仿宋_GB2312" w:eastAsia="仿宋_GB2312" w:hAnsi="Times New Roman" w:cs="Times New Roman" w:hint="eastAsia"/>
          <w:sz w:val="32"/>
          <w:szCs w:val="32"/>
        </w:rPr>
        <w:t>万元；公务接待费</w:t>
      </w:r>
      <w:r w:rsidR="00060ED4">
        <w:rPr>
          <w:rFonts w:ascii="仿宋_GB2312" w:eastAsia="仿宋_GB2312" w:hAnsi="Times New Roman" w:cs="Times New Roman" w:hint="eastAsia"/>
          <w:sz w:val="32"/>
          <w:szCs w:val="32"/>
        </w:rPr>
        <w:t>0</w:t>
      </w:r>
      <w:r w:rsidRPr="00060ED4">
        <w:rPr>
          <w:rFonts w:ascii="仿宋_GB2312" w:eastAsia="仿宋_GB2312" w:hAnsi="Times New Roman" w:cs="Times New Roman" w:hint="eastAsia"/>
          <w:sz w:val="32"/>
          <w:szCs w:val="32"/>
        </w:rPr>
        <w:t>万元。</w:t>
      </w:r>
    </w:p>
    <w:p w:rsidR="00060ED4" w:rsidRDefault="00A111B0" w:rsidP="00060ED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年度“三公”经费支出决算少于预算的主要原因是认真贯彻落实中央八项规定精神和厉行节约要</w:t>
      </w:r>
      <w:r w:rsidR="00060ED4">
        <w:rPr>
          <w:rFonts w:ascii="Times New Roman" w:eastAsia="仿宋_GB2312" w:hAnsi="Times New Roman" w:cs="Times New Roman" w:hint="eastAsia"/>
          <w:sz w:val="32"/>
          <w:szCs w:val="32"/>
        </w:rPr>
        <w:t>求，进一步从严控制“三公”经费开支，全年实际支出比预算有所节约。</w:t>
      </w:r>
      <w:r w:rsidR="00060ED4">
        <w:rPr>
          <w:rFonts w:ascii="Times New Roman" w:eastAsia="仿宋_GB2312" w:hAnsi="Times New Roman" w:cs="Times New Roman" w:hint="eastAsia"/>
          <w:sz w:val="32"/>
          <w:szCs w:val="32"/>
        </w:rPr>
        <w:t xml:space="preserve">       </w:t>
      </w:r>
    </w:p>
    <w:p w:rsidR="00A111B0" w:rsidRDefault="00060ED4" w:rsidP="00F65E68">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w:t>
      </w:r>
      <w:r w:rsidR="00A111B0">
        <w:rPr>
          <w:rFonts w:ascii="Times New Roman" w:eastAsia="仿宋_GB2312" w:hAnsi="Times New Roman" w:cs="Times New Roman" w:hint="eastAsia"/>
          <w:sz w:val="32"/>
          <w:szCs w:val="32"/>
        </w:rPr>
        <w:t>）“三公”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F65E68">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万元，其中：</w:t>
      </w:r>
    </w:p>
    <w:p w:rsidR="00F65E68"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（一）因公出国（境）费用支出</w:t>
      </w:r>
      <w:r w:rsidR="00F65E6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r w:rsidR="00F65E68">
        <w:rPr>
          <w:rFonts w:ascii="Times New Roman" w:eastAsia="仿宋_GB2312" w:hAnsi="Times New Roman" w:cs="Times New Roman" w:hint="eastAsia"/>
          <w:sz w:val="32"/>
          <w:szCs w:val="32"/>
        </w:rPr>
        <w:t>，</w:t>
      </w:r>
      <w:r w:rsidR="00F65E68">
        <w:rPr>
          <w:rFonts w:ascii="Times New Roman" w:eastAsia="仿宋_GB2312" w:hAnsi="Times New Roman" w:cs="Times New Roman" w:hint="eastAsia"/>
          <w:sz w:val="32"/>
          <w:szCs w:val="32"/>
        </w:rPr>
        <w:t>2014</w:t>
      </w:r>
      <w:r w:rsidR="00F65E68">
        <w:rPr>
          <w:rFonts w:ascii="Times New Roman" w:eastAsia="仿宋_GB2312" w:hAnsi="Times New Roman" w:cs="Times New Roman" w:hint="eastAsia"/>
          <w:sz w:val="32"/>
          <w:szCs w:val="32"/>
        </w:rPr>
        <w:t>年并未安排相关预算支出。</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F65E6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r w:rsidR="00F65E68">
        <w:rPr>
          <w:rFonts w:ascii="Times New Roman" w:eastAsia="仿宋_GB2312" w:hAnsi="Times New Roman" w:cs="Times New Roman" w:hint="eastAsia"/>
          <w:sz w:val="32"/>
          <w:szCs w:val="32"/>
        </w:rPr>
        <w:t>，</w:t>
      </w:r>
      <w:r w:rsidR="00F65E68">
        <w:rPr>
          <w:rFonts w:ascii="Times New Roman" w:eastAsia="仿宋_GB2312" w:hAnsi="Times New Roman" w:cs="Times New Roman" w:hint="eastAsia"/>
          <w:sz w:val="32"/>
          <w:szCs w:val="32"/>
        </w:rPr>
        <w:t>2014</w:t>
      </w:r>
      <w:r w:rsidR="00F65E68">
        <w:rPr>
          <w:rFonts w:ascii="Times New Roman" w:eastAsia="仿宋_GB2312" w:hAnsi="Times New Roman" w:cs="Times New Roman" w:hint="eastAsia"/>
          <w:sz w:val="32"/>
          <w:szCs w:val="32"/>
        </w:rPr>
        <w:t>年并未安排相关预算支出</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F65E6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w:t>
      </w:r>
      <w:r w:rsidR="00F65E68">
        <w:rPr>
          <w:rFonts w:ascii="Times New Roman" w:eastAsia="仿宋_GB2312" w:hAnsi="Times New Roman" w:cs="Times New Roman" w:hint="eastAsia"/>
          <w:sz w:val="32"/>
          <w:szCs w:val="32"/>
        </w:rPr>
        <w:t>，</w:t>
      </w:r>
      <w:r w:rsidR="00F65E68">
        <w:rPr>
          <w:rFonts w:ascii="Times New Roman" w:eastAsia="仿宋_GB2312" w:hAnsi="Times New Roman" w:cs="Times New Roman" w:hint="eastAsia"/>
          <w:sz w:val="32"/>
          <w:szCs w:val="32"/>
        </w:rPr>
        <w:t>2014</w:t>
      </w:r>
      <w:r w:rsidR="00F65E68">
        <w:rPr>
          <w:rFonts w:ascii="Times New Roman" w:eastAsia="仿宋_GB2312" w:hAnsi="Times New Roman" w:cs="Times New Roman" w:hint="eastAsia"/>
          <w:sz w:val="32"/>
          <w:szCs w:val="32"/>
        </w:rPr>
        <w:t>年并未安排相关预算支出。</w:t>
      </w:r>
      <w:r w:rsidRPr="00F44F0E">
        <w:rPr>
          <w:rFonts w:ascii="Times New Roman" w:eastAsia="仿宋_GB2312" w:hAnsi="Times New Roman" w:cs="Times New Roman" w:hint="eastAsia"/>
          <w:sz w:val="32"/>
          <w:szCs w:val="32"/>
        </w:rPr>
        <w:t>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F65E6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F65E68">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F65E68">
        <w:rPr>
          <w:rFonts w:ascii="Times New Roman" w:eastAsia="仿宋_GB2312" w:hAnsi="Times New Roman" w:cs="Times New Roman" w:hint="eastAsia"/>
          <w:sz w:val="32"/>
          <w:szCs w:val="32"/>
        </w:rPr>
        <w:t>0.9</w:t>
      </w:r>
      <w:r w:rsidRPr="00F44F0E">
        <w:rPr>
          <w:rFonts w:ascii="Times New Roman" w:eastAsia="仿宋_GB2312" w:hAnsi="Times New Roman" w:cs="Times New Roman" w:hint="eastAsia"/>
          <w:sz w:val="32"/>
          <w:szCs w:val="32"/>
        </w:rPr>
        <w:t>万元，降低</w:t>
      </w:r>
      <w:r w:rsidR="00F65E68">
        <w:rPr>
          <w:rFonts w:ascii="Times New Roman" w:eastAsia="仿宋_GB2312" w:hAnsi="Times New Roman" w:cs="Times New Roman" w:hint="eastAsia"/>
          <w:sz w:val="32"/>
          <w:szCs w:val="32"/>
        </w:rPr>
        <w:t>100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F65E68"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F65E68" w:rsidRDefault="00F65E68" w:rsidP="007171AD">
      <w:pPr>
        <w:jc w:val="center"/>
        <w:rPr>
          <w:rFonts w:ascii="Times New Roman" w:eastAsia="黑体"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firstRow="1" w:lastRow="0" w:firstColumn="1" w:lastColumn="0" w:noHBand="0" w:noVBand="1"/>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01" w:rsidRDefault="00BB0301" w:rsidP="007171AD">
      <w:r>
        <w:separator/>
      </w:r>
    </w:p>
  </w:endnote>
  <w:endnote w:type="continuationSeparator" w:id="0">
    <w:p w:rsidR="00BB0301" w:rsidRDefault="00BB0301"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AD" w:rsidRDefault="007171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01" w:rsidRDefault="00BB0301" w:rsidP="007171AD">
      <w:r>
        <w:separator/>
      </w:r>
    </w:p>
  </w:footnote>
  <w:footnote w:type="continuationSeparator" w:id="0">
    <w:p w:rsidR="00BB0301" w:rsidRDefault="00BB0301"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60ED4"/>
    <w:rsid w:val="00091651"/>
    <w:rsid w:val="000D6C81"/>
    <w:rsid w:val="001519AD"/>
    <w:rsid w:val="00156ACC"/>
    <w:rsid w:val="0016144D"/>
    <w:rsid w:val="00180F1F"/>
    <w:rsid w:val="001A4415"/>
    <w:rsid w:val="00203959"/>
    <w:rsid w:val="00203E5A"/>
    <w:rsid w:val="00203FBC"/>
    <w:rsid w:val="00216625"/>
    <w:rsid w:val="002300D7"/>
    <w:rsid w:val="00256189"/>
    <w:rsid w:val="00267C10"/>
    <w:rsid w:val="002B5CF3"/>
    <w:rsid w:val="002E7906"/>
    <w:rsid w:val="002F04EF"/>
    <w:rsid w:val="00326CB1"/>
    <w:rsid w:val="003402E4"/>
    <w:rsid w:val="00347B34"/>
    <w:rsid w:val="003809AC"/>
    <w:rsid w:val="00381456"/>
    <w:rsid w:val="00382412"/>
    <w:rsid w:val="0041378F"/>
    <w:rsid w:val="00451C48"/>
    <w:rsid w:val="00470393"/>
    <w:rsid w:val="004A1C5C"/>
    <w:rsid w:val="004A2B86"/>
    <w:rsid w:val="004E37FD"/>
    <w:rsid w:val="005156A2"/>
    <w:rsid w:val="00521DC7"/>
    <w:rsid w:val="00550794"/>
    <w:rsid w:val="00592CE7"/>
    <w:rsid w:val="005B0BEE"/>
    <w:rsid w:val="005F1CEA"/>
    <w:rsid w:val="00645FE2"/>
    <w:rsid w:val="00647005"/>
    <w:rsid w:val="006641FD"/>
    <w:rsid w:val="00671B7E"/>
    <w:rsid w:val="00681FB1"/>
    <w:rsid w:val="006B03BF"/>
    <w:rsid w:val="00702D73"/>
    <w:rsid w:val="00712D1F"/>
    <w:rsid w:val="007171AD"/>
    <w:rsid w:val="00744C8D"/>
    <w:rsid w:val="007822D5"/>
    <w:rsid w:val="007937E4"/>
    <w:rsid w:val="007E292D"/>
    <w:rsid w:val="008206E1"/>
    <w:rsid w:val="008408EC"/>
    <w:rsid w:val="00883E5C"/>
    <w:rsid w:val="008903A2"/>
    <w:rsid w:val="008B4575"/>
    <w:rsid w:val="008D1C3E"/>
    <w:rsid w:val="008D6AFE"/>
    <w:rsid w:val="00902728"/>
    <w:rsid w:val="00915EA7"/>
    <w:rsid w:val="009A1C21"/>
    <w:rsid w:val="009B5280"/>
    <w:rsid w:val="009C339A"/>
    <w:rsid w:val="00A111B0"/>
    <w:rsid w:val="00A344E0"/>
    <w:rsid w:val="00A43237"/>
    <w:rsid w:val="00A7207A"/>
    <w:rsid w:val="00AB4A48"/>
    <w:rsid w:val="00B071F5"/>
    <w:rsid w:val="00B113F5"/>
    <w:rsid w:val="00B15430"/>
    <w:rsid w:val="00B329A5"/>
    <w:rsid w:val="00B67FE9"/>
    <w:rsid w:val="00B73A19"/>
    <w:rsid w:val="00B7737B"/>
    <w:rsid w:val="00B81F23"/>
    <w:rsid w:val="00BA763F"/>
    <w:rsid w:val="00BB0301"/>
    <w:rsid w:val="00BD6A8F"/>
    <w:rsid w:val="00C57F59"/>
    <w:rsid w:val="00C62410"/>
    <w:rsid w:val="00C76610"/>
    <w:rsid w:val="00D25B82"/>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D1F"/>
    <w:rsid w:val="00F44F0E"/>
    <w:rsid w:val="00F46C79"/>
    <w:rsid w:val="00F628AB"/>
    <w:rsid w:val="00F65E68"/>
    <w:rsid w:val="00F83552"/>
    <w:rsid w:val="00FA06F8"/>
    <w:rsid w:val="00FA74EE"/>
    <w:rsid w:val="00F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BA763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BA76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7D9E-E18E-4210-90A6-E0E46622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2014年东莞市财政局 信息中心部门决算   </dc:title>
  <dc:subject/>
  <dc:creator>李峰</dc:creator>
  <cp:keywords/>
  <dc:description/>
  <cp:lastModifiedBy>陈彩虹</cp:lastModifiedBy>
  <cp:revision>14</cp:revision>
  <cp:lastPrinted>2015-10-31T08:11:00Z</cp:lastPrinted>
  <dcterms:created xsi:type="dcterms:W3CDTF">2015-10-30T07:05:00Z</dcterms:created>
  <dcterms:modified xsi:type="dcterms:W3CDTF">2015-11-03T02:37:00Z</dcterms:modified>
</cp:coreProperties>
</file>