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61" w:rsidRPr="00EC5961" w:rsidRDefault="00EC5961" w:rsidP="00EC5961">
      <w:pPr>
        <w:rPr>
          <w:rFonts w:ascii="仿宋_GB2312" w:eastAsia="仿宋_GB2312"/>
          <w:sz w:val="32"/>
          <w:szCs w:val="32"/>
        </w:rPr>
      </w:pPr>
      <w:r w:rsidRPr="00EC5961">
        <w:rPr>
          <w:rFonts w:ascii="仿宋_GB2312" w:eastAsia="仿宋_GB2312" w:hint="eastAsia"/>
          <w:sz w:val="32"/>
          <w:szCs w:val="32"/>
        </w:rPr>
        <w:t>附件1：</w:t>
      </w:r>
    </w:p>
    <w:p w:rsidR="00EC5961" w:rsidRPr="00EC5961" w:rsidRDefault="00EC5961" w:rsidP="00EC5961">
      <w:pPr>
        <w:rPr>
          <w:rFonts w:ascii="仿宋_GB2312" w:eastAsia="仿宋_GB2312"/>
          <w:sz w:val="32"/>
          <w:szCs w:val="32"/>
        </w:rPr>
      </w:pPr>
    </w:p>
    <w:p w:rsidR="00EC5961" w:rsidRPr="00EC5961" w:rsidRDefault="00EC5961" w:rsidP="00EC5961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EC5961">
        <w:rPr>
          <w:rFonts w:ascii="方正小标宋简体" w:eastAsia="方正小标宋简体" w:hint="eastAsia"/>
          <w:sz w:val="44"/>
          <w:szCs w:val="44"/>
        </w:rPr>
        <w:t>2014年</w:t>
      </w:r>
      <w:r w:rsidR="009D3EBB">
        <w:rPr>
          <w:rFonts w:ascii="方正小标宋简体" w:eastAsia="方正小标宋简体" w:hint="eastAsia"/>
          <w:sz w:val="44"/>
          <w:szCs w:val="44"/>
        </w:rPr>
        <w:t>东莞财政局票据监管中心</w:t>
      </w:r>
      <w:r w:rsidRPr="00EC5961">
        <w:rPr>
          <w:rFonts w:ascii="方正小标宋简体" w:eastAsia="方正小标宋简体" w:hint="eastAsia"/>
          <w:sz w:val="44"/>
          <w:szCs w:val="44"/>
        </w:rPr>
        <w:t>部门决算情况说明</w:t>
      </w:r>
    </w:p>
    <w:p w:rsidR="00EC5961" w:rsidRPr="00EC5961" w:rsidRDefault="00EC5961" w:rsidP="00EC5961">
      <w:pPr>
        <w:rPr>
          <w:rFonts w:ascii="仿宋_GB2312" w:eastAsia="仿宋_GB2312"/>
          <w:sz w:val="32"/>
          <w:szCs w:val="32"/>
        </w:rPr>
      </w:pPr>
      <w:r w:rsidRPr="00EC5961">
        <w:rPr>
          <w:rFonts w:ascii="仿宋_GB2312" w:eastAsia="仿宋_GB2312" w:hint="eastAsia"/>
          <w:sz w:val="32"/>
          <w:szCs w:val="32"/>
        </w:rPr>
        <w:tab/>
      </w:r>
    </w:p>
    <w:p w:rsidR="00EC5961" w:rsidRPr="00EC5961" w:rsidRDefault="00EC5961" w:rsidP="00EC5961">
      <w:pPr>
        <w:ind w:firstLineChars="200" w:firstLine="640"/>
        <w:rPr>
          <w:rFonts w:ascii="黑体" w:eastAsia="黑体"/>
          <w:sz w:val="32"/>
          <w:szCs w:val="32"/>
        </w:rPr>
      </w:pPr>
      <w:r w:rsidRPr="00EC5961">
        <w:rPr>
          <w:rFonts w:ascii="黑体" w:eastAsia="黑体" w:hint="eastAsia"/>
          <w:sz w:val="32"/>
          <w:szCs w:val="32"/>
        </w:rPr>
        <w:t>一、部门基本情况</w:t>
      </w:r>
    </w:p>
    <w:p w:rsidR="00EC5961" w:rsidRDefault="00EC5961" w:rsidP="00EC59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C5961">
        <w:rPr>
          <w:rFonts w:ascii="仿宋_GB2312" w:eastAsia="仿宋_GB2312" w:hint="eastAsia"/>
          <w:sz w:val="32"/>
          <w:szCs w:val="32"/>
        </w:rPr>
        <w:t>东莞市</w:t>
      </w:r>
      <w:r w:rsidR="009D3EBB" w:rsidRPr="009D3EBB">
        <w:rPr>
          <w:rFonts w:ascii="仿宋_GB2312" w:eastAsia="仿宋_GB2312" w:hint="eastAsia"/>
          <w:sz w:val="32"/>
          <w:szCs w:val="32"/>
        </w:rPr>
        <w:t>财政局票据监管中心</w:t>
      </w:r>
      <w:r w:rsidRPr="00EC5961">
        <w:rPr>
          <w:rFonts w:ascii="仿宋_GB2312" w:eastAsia="仿宋_GB2312" w:hint="eastAsia"/>
          <w:sz w:val="32"/>
          <w:szCs w:val="32"/>
        </w:rPr>
        <w:t>设</w:t>
      </w:r>
      <w:r w:rsidR="009D3EBB">
        <w:rPr>
          <w:rFonts w:ascii="仿宋_GB2312" w:eastAsia="仿宋_GB2312" w:hint="eastAsia"/>
          <w:sz w:val="32"/>
          <w:szCs w:val="32"/>
        </w:rPr>
        <w:t>事业</w:t>
      </w:r>
      <w:r w:rsidRPr="004C792F">
        <w:rPr>
          <w:rFonts w:ascii="仿宋_GB2312" w:eastAsia="仿宋_GB2312" w:hint="eastAsia"/>
          <w:sz w:val="32"/>
          <w:szCs w:val="32"/>
        </w:rPr>
        <w:t>单位</w:t>
      </w:r>
      <w:r w:rsidR="009D3EBB" w:rsidRPr="004C792F">
        <w:rPr>
          <w:rFonts w:ascii="仿宋_GB2312" w:eastAsia="仿宋_GB2312" w:hint="eastAsia"/>
          <w:sz w:val="32"/>
          <w:szCs w:val="32"/>
        </w:rPr>
        <w:t>1</w:t>
      </w:r>
      <w:r w:rsidRPr="004C792F">
        <w:rPr>
          <w:rFonts w:ascii="仿宋_GB2312" w:eastAsia="仿宋_GB2312" w:hint="eastAsia"/>
          <w:sz w:val="32"/>
          <w:szCs w:val="32"/>
        </w:rPr>
        <w:t>个，</w:t>
      </w:r>
      <w:r w:rsidRPr="00EC5961">
        <w:rPr>
          <w:rFonts w:ascii="仿宋_GB2312" w:eastAsia="仿宋_GB2312" w:hint="eastAsia"/>
          <w:sz w:val="32"/>
          <w:szCs w:val="32"/>
        </w:rPr>
        <w:t>其中，内设</w:t>
      </w:r>
      <w:r w:rsidR="006B091C" w:rsidRPr="006B091C">
        <w:rPr>
          <w:rFonts w:ascii="仿宋_GB2312" w:eastAsia="仿宋_GB2312" w:hint="eastAsia"/>
          <w:sz w:val="32"/>
          <w:szCs w:val="32"/>
        </w:rPr>
        <w:t>1</w:t>
      </w:r>
      <w:r w:rsidRPr="00EC5961">
        <w:rPr>
          <w:rFonts w:ascii="仿宋_GB2312" w:eastAsia="仿宋_GB2312" w:hint="eastAsia"/>
          <w:sz w:val="32"/>
          <w:szCs w:val="32"/>
        </w:rPr>
        <w:t>个科室、</w:t>
      </w:r>
      <w:r w:rsidR="009D3EBB" w:rsidRPr="004C792F">
        <w:rPr>
          <w:rFonts w:ascii="仿宋_GB2312" w:eastAsia="仿宋_GB2312" w:hint="eastAsia"/>
          <w:sz w:val="32"/>
          <w:szCs w:val="32"/>
        </w:rPr>
        <w:t>0</w:t>
      </w:r>
      <w:r w:rsidRPr="009D3EBB">
        <w:rPr>
          <w:rFonts w:ascii="仿宋_GB2312" w:eastAsia="仿宋_GB2312" w:hint="eastAsia"/>
          <w:sz w:val="32"/>
          <w:szCs w:val="32"/>
        </w:rPr>
        <w:t>个派出机构</w:t>
      </w:r>
      <w:r w:rsidRPr="00EC5961">
        <w:rPr>
          <w:rFonts w:ascii="仿宋_GB2312" w:eastAsia="仿宋_GB2312" w:hint="eastAsia"/>
          <w:sz w:val="32"/>
          <w:szCs w:val="32"/>
        </w:rPr>
        <w:t>。</w:t>
      </w:r>
    </w:p>
    <w:p w:rsidR="00EC5961" w:rsidRDefault="00EC5961" w:rsidP="00EC596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二、主要职能</w:t>
      </w:r>
    </w:p>
    <w:p w:rsidR="009D3EBB" w:rsidRPr="005D1AC2" w:rsidRDefault="009D3EBB" w:rsidP="009D3EBB">
      <w:pPr>
        <w:pStyle w:val="a5"/>
        <w:ind w:firstLine="480"/>
        <w:rPr>
          <w:rFonts w:ascii="Times New Roman" w:eastAsia="仿宋_GB2312" w:hAnsi="Times New Roman" w:cs="Times New Roman"/>
          <w:kern w:val="2"/>
          <w:sz w:val="31"/>
          <w:szCs w:val="31"/>
        </w:rPr>
      </w:pPr>
      <w:r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东莞市财政局票据监管中心的职能：贯彻执行国家、省和市有关财政票据管理的规章制度并监督实施；督促执收执罚单位建立健全财政票据管理制度，办理财政票据领用注册登记，发放“票据购领证”，监督检查财政票据的购领、使用、结存及保管情况；对镇（办事处）财政分局财政票据管理工作进行业务指导和培训</w:t>
      </w:r>
      <w:r w:rsidRPr="005D1AC2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等。</w:t>
      </w:r>
    </w:p>
    <w:p w:rsidR="00EC5961" w:rsidRPr="008533B5" w:rsidRDefault="00EC5961" w:rsidP="00EC596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8533B5">
        <w:rPr>
          <w:rFonts w:ascii="Times New Roman" w:eastAsia="黑体" w:hAnsi="Times New Roman" w:cs="Times New Roman"/>
          <w:sz w:val="32"/>
          <w:szCs w:val="32"/>
        </w:rPr>
        <w:t>、人员情况</w:t>
      </w:r>
    </w:p>
    <w:p w:rsidR="0063304A" w:rsidRDefault="0063304A" w:rsidP="006330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年底，</w:t>
      </w:r>
      <w:r w:rsidRPr="008533B5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财政局票据监管中心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共有事业编制数</w:t>
      </w:r>
      <w:r w:rsidR="009D3EBB" w:rsidRPr="009D3EB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名，其中财政供养的编内实有在职人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员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。另外，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没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有离退休人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员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借用人员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聘用人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员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D3EBB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3304A" w:rsidRPr="0063304A" w:rsidRDefault="0063304A" w:rsidP="0063304A">
      <w:pPr>
        <w:ind w:firstLineChars="200" w:firstLine="640"/>
        <w:rPr>
          <w:rFonts w:ascii="黑体" w:eastAsia="黑体"/>
          <w:sz w:val="32"/>
          <w:szCs w:val="32"/>
        </w:rPr>
      </w:pPr>
      <w:r w:rsidRPr="0063304A">
        <w:rPr>
          <w:rFonts w:ascii="黑体" w:eastAsia="黑体" w:hint="eastAsia"/>
          <w:sz w:val="32"/>
          <w:szCs w:val="32"/>
        </w:rPr>
        <w:t>四、决算年度主要工作任务</w:t>
      </w:r>
    </w:p>
    <w:p w:rsidR="00EC5961" w:rsidRDefault="0063304A" w:rsidP="0063304A">
      <w:pPr>
        <w:ind w:firstLineChars="200" w:firstLine="640"/>
        <w:rPr>
          <w:rFonts w:ascii="黑体" w:eastAsia="黑体" w:hAnsi="Times New Roman" w:cs="Times New Roman"/>
          <w:b/>
          <w:color w:val="FF0000"/>
          <w:sz w:val="32"/>
          <w:szCs w:val="32"/>
        </w:rPr>
      </w:pPr>
      <w:r w:rsidRPr="0063304A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4</w:t>
      </w:r>
      <w:r w:rsidRPr="0063304A">
        <w:rPr>
          <w:rFonts w:ascii="仿宋_GB2312" w:eastAsia="仿宋_GB2312" w:hint="eastAsia"/>
          <w:sz w:val="32"/>
          <w:szCs w:val="32"/>
        </w:rPr>
        <w:t>年，本单位主要完成以下工作任务：</w:t>
      </w:r>
    </w:p>
    <w:p w:rsidR="006B091C" w:rsidRPr="006B091C" w:rsidRDefault="006B091C" w:rsidP="006B091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B091C">
        <w:rPr>
          <w:rFonts w:ascii="Times New Roman" w:eastAsia="仿宋_GB2312" w:hAnsi="Times New Roman" w:hint="eastAsia"/>
          <w:sz w:val="32"/>
          <w:szCs w:val="32"/>
        </w:rPr>
        <w:lastRenderedPageBreak/>
        <w:t>根据《财政票据管理办法》的规定，做好票据领用、发放、核销、销毁等工作，完善票据监管制度；结合市政府</w:t>
      </w:r>
      <w:r w:rsidRPr="006B091C">
        <w:rPr>
          <w:rFonts w:ascii="Times New Roman" w:eastAsia="仿宋_GB2312" w:hAnsi="Times New Roman" w:hint="eastAsia"/>
          <w:sz w:val="32"/>
          <w:szCs w:val="32"/>
        </w:rPr>
        <w:t>2014</w:t>
      </w:r>
      <w:r w:rsidRPr="006B091C">
        <w:rPr>
          <w:rFonts w:ascii="Times New Roman" w:eastAsia="仿宋_GB2312" w:hAnsi="Times New Roman" w:hint="eastAsia"/>
          <w:sz w:val="32"/>
          <w:szCs w:val="32"/>
        </w:rPr>
        <w:t>年</w:t>
      </w:r>
      <w:r w:rsidRPr="006B091C">
        <w:rPr>
          <w:rFonts w:ascii="Times New Roman" w:eastAsia="仿宋_GB2312" w:hAnsi="Times New Roman" w:hint="eastAsia"/>
          <w:sz w:val="32"/>
          <w:szCs w:val="32"/>
        </w:rPr>
        <w:t>1</w:t>
      </w:r>
      <w:r w:rsidRPr="006B091C">
        <w:rPr>
          <w:rFonts w:ascii="Times New Roman" w:eastAsia="仿宋_GB2312" w:hAnsi="Times New Roman" w:hint="eastAsia"/>
          <w:sz w:val="32"/>
          <w:szCs w:val="32"/>
        </w:rPr>
        <w:t>号文的规定，加强票据监管，推广非税系统应用，配合市财政局直属分局做好非税收入征收管理工作；依据《关于推进财政票据电子化改革的方案》的要求，落实财政票据“一张网”的电子化建设工作；根据工作需要，做好票据管理员业务培训与指导工作。</w:t>
      </w:r>
    </w:p>
    <w:p w:rsidR="0063304A" w:rsidRPr="00CC1965" w:rsidRDefault="0063304A" w:rsidP="0063304A">
      <w:pPr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</w:t>
      </w:r>
      <w:r w:rsidRPr="00CC1965">
        <w:rPr>
          <w:rFonts w:ascii="Times New Roman" w:eastAsia="黑体" w:hAnsi="Times New Roman"/>
          <w:sz w:val="32"/>
          <w:szCs w:val="32"/>
        </w:rPr>
        <w:t>、决算年度收支决算说明</w:t>
      </w:r>
    </w:p>
    <w:p w:rsidR="0063304A" w:rsidRPr="009D3EBB" w:rsidRDefault="0063304A" w:rsidP="00134631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9D3EBB">
        <w:rPr>
          <w:rFonts w:ascii="Times New Roman" w:eastAsia="仿宋_GB2312" w:hAnsi="Times New Roman"/>
          <w:sz w:val="32"/>
          <w:szCs w:val="32"/>
        </w:rPr>
        <w:t>201</w:t>
      </w:r>
      <w:r w:rsidRPr="009D3EBB">
        <w:rPr>
          <w:rFonts w:ascii="Times New Roman" w:eastAsia="仿宋_GB2312" w:hAnsi="Times New Roman" w:hint="eastAsia"/>
          <w:sz w:val="32"/>
          <w:szCs w:val="32"/>
        </w:rPr>
        <w:t>4</w:t>
      </w:r>
      <w:r w:rsidRPr="009D3EBB">
        <w:rPr>
          <w:rFonts w:ascii="Times New Roman" w:eastAsia="仿宋_GB2312" w:hAnsi="Times New Roman"/>
          <w:sz w:val="32"/>
          <w:szCs w:val="32"/>
        </w:rPr>
        <w:t>年部门决算总收入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945.25</w:t>
      </w:r>
      <w:r w:rsidRPr="009D3EBB">
        <w:rPr>
          <w:rFonts w:ascii="Times New Roman" w:eastAsia="仿宋_GB2312" w:hAnsi="Times New Roman"/>
          <w:sz w:val="32"/>
          <w:szCs w:val="32"/>
        </w:rPr>
        <w:t>万元，其中：财政拨款收入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945.25</w:t>
      </w:r>
      <w:r w:rsidRPr="009D3EBB">
        <w:rPr>
          <w:rFonts w:ascii="Times New Roman" w:eastAsia="仿宋_GB2312" w:hAnsi="Times New Roman"/>
          <w:sz w:val="32"/>
          <w:szCs w:val="32"/>
        </w:rPr>
        <w:t>万元，占总收入的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100</w:t>
      </w:r>
      <w:r w:rsidRPr="009D3EBB">
        <w:rPr>
          <w:rFonts w:ascii="Times New Roman" w:eastAsia="仿宋_GB2312" w:hAnsi="Times New Roman"/>
          <w:sz w:val="32"/>
          <w:szCs w:val="32"/>
        </w:rPr>
        <w:t>%</w:t>
      </w:r>
      <w:r w:rsidRPr="009D3EBB">
        <w:rPr>
          <w:rFonts w:ascii="Times New Roman" w:eastAsia="仿宋_GB2312" w:hAnsi="Times New Roman"/>
          <w:sz w:val="32"/>
          <w:szCs w:val="32"/>
        </w:rPr>
        <w:t>。上年</w:t>
      </w:r>
      <w:r w:rsidRPr="009D3EBB">
        <w:rPr>
          <w:rFonts w:ascii="Times New Roman" w:eastAsia="仿宋_GB2312" w:hAnsi="Times New Roman" w:hint="eastAsia"/>
          <w:sz w:val="32"/>
          <w:szCs w:val="32"/>
        </w:rPr>
        <w:t>结转和</w:t>
      </w:r>
      <w:r w:rsidRPr="009D3EBB">
        <w:rPr>
          <w:rFonts w:ascii="Times New Roman" w:eastAsia="仿宋_GB2312" w:hAnsi="Times New Roman"/>
          <w:sz w:val="32"/>
          <w:szCs w:val="32"/>
        </w:rPr>
        <w:t>结余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6.13</w:t>
      </w:r>
      <w:r w:rsidRPr="009D3EBB">
        <w:rPr>
          <w:rFonts w:ascii="Times New Roman" w:eastAsia="仿宋_GB2312" w:hAnsi="Times New Roman"/>
          <w:sz w:val="32"/>
          <w:szCs w:val="32"/>
        </w:rPr>
        <w:t>万元。</w:t>
      </w:r>
    </w:p>
    <w:p w:rsidR="0063304A" w:rsidRPr="009D3EBB" w:rsidRDefault="0063304A" w:rsidP="0063304A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9D3EBB">
        <w:rPr>
          <w:rFonts w:ascii="Times New Roman" w:eastAsia="仿宋_GB2312" w:hAnsi="Times New Roman"/>
          <w:sz w:val="32"/>
          <w:szCs w:val="32"/>
        </w:rPr>
        <w:t>201</w:t>
      </w:r>
      <w:r w:rsidRPr="009D3EBB">
        <w:rPr>
          <w:rFonts w:ascii="Times New Roman" w:eastAsia="仿宋_GB2312" w:hAnsi="Times New Roman" w:hint="eastAsia"/>
          <w:sz w:val="32"/>
          <w:szCs w:val="32"/>
        </w:rPr>
        <w:t>4</w:t>
      </w:r>
      <w:r w:rsidRPr="009D3EBB">
        <w:rPr>
          <w:rFonts w:ascii="Times New Roman" w:eastAsia="仿宋_GB2312" w:hAnsi="Times New Roman"/>
          <w:sz w:val="32"/>
          <w:szCs w:val="32"/>
        </w:rPr>
        <w:t>年部门决算总支出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939.34</w:t>
      </w:r>
      <w:r w:rsidRPr="009D3EBB">
        <w:rPr>
          <w:rFonts w:ascii="Times New Roman" w:eastAsia="仿宋_GB2312" w:hAnsi="Times New Roman"/>
          <w:sz w:val="32"/>
          <w:szCs w:val="32"/>
        </w:rPr>
        <w:t>万元，其中基本支出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48.10</w:t>
      </w:r>
      <w:r w:rsidRPr="009D3EBB">
        <w:rPr>
          <w:rFonts w:ascii="Times New Roman" w:eastAsia="仿宋_GB2312" w:hAnsi="Times New Roman"/>
          <w:sz w:val="32"/>
          <w:szCs w:val="32"/>
        </w:rPr>
        <w:t>万元，项目支出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891.24</w:t>
      </w:r>
      <w:r w:rsidRPr="009D3EBB">
        <w:rPr>
          <w:rFonts w:ascii="Times New Roman" w:eastAsia="仿宋_GB2312" w:hAnsi="Times New Roman"/>
          <w:sz w:val="32"/>
          <w:szCs w:val="32"/>
        </w:rPr>
        <w:t>万元。本年</w:t>
      </w:r>
      <w:r w:rsidRPr="009D3EBB">
        <w:rPr>
          <w:rFonts w:ascii="Times New Roman" w:eastAsia="仿宋_GB2312" w:hAnsi="Times New Roman" w:hint="eastAsia"/>
          <w:sz w:val="32"/>
          <w:szCs w:val="32"/>
        </w:rPr>
        <w:t>结转和</w:t>
      </w:r>
      <w:r w:rsidRPr="009D3EBB">
        <w:rPr>
          <w:rFonts w:ascii="Times New Roman" w:eastAsia="仿宋_GB2312" w:hAnsi="Times New Roman"/>
          <w:sz w:val="32"/>
          <w:szCs w:val="32"/>
        </w:rPr>
        <w:t>结余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12.04</w:t>
      </w:r>
      <w:r w:rsidRPr="009D3EBB">
        <w:rPr>
          <w:rFonts w:ascii="Times New Roman" w:eastAsia="仿宋_GB2312" w:hAnsi="Times New Roman"/>
          <w:sz w:val="32"/>
          <w:szCs w:val="32"/>
        </w:rPr>
        <w:t>万元。</w:t>
      </w:r>
    </w:p>
    <w:p w:rsidR="0063304A" w:rsidRPr="009D3EBB" w:rsidRDefault="0063304A" w:rsidP="0063304A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9D3EBB">
        <w:rPr>
          <w:rFonts w:ascii="Times New Roman" w:eastAsia="仿宋_GB2312" w:hAnsi="Times New Roman" w:hint="eastAsia"/>
          <w:sz w:val="32"/>
          <w:szCs w:val="32"/>
        </w:rPr>
        <w:t>各项收支决算数据详见</w:t>
      </w:r>
      <w:r w:rsidRPr="009D3EBB">
        <w:rPr>
          <w:rFonts w:ascii="Times New Roman" w:eastAsia="仿宋_GB2312" w:hAnsi="Times New Roman" w:hint="eastAsia"/>
          <w:sz w:val="32"/>
          <w:szCs w:val="32"/>
        </w:rPr>
        <w:t>2014</w:t>
      </w:r>
      <w:r w:rsidRPr="009D3EBB">
        <w:rPr>
          <w:rFonts w:ascii="Times New Roman" w:eastAsia="仿宋_GB2312" w:hAnsi="Times New Roman" w:hint="eastAsia"/>
          <w:sz w:val="32"/>
          <w:szCs w:val="32"/>
        </w:rPr>
        <w:t>年部门决算表。</w:t>
      </w:r>
    </w:p>
    <w:p w:rsidR="0063304A" w:rsidRPr="009D3EBB" w:rsidRDefault="0063304A" w:rsidP="0063304A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9D3EBB">
        <w:rPr>
          <w:rFonts w:ascii="Times New Roman" w:eastAsia="黑体" w:hAnsi="Times New Roman" w:hint="eastAsia"/>
          <w:sz w:val="32"/>
          <w:szCs w:val="32"/>
        </w:rPr>
        <w:t>六、“三公”经费支出说明</w:t>
      </w:r>
    </w:p>
    <w:p w:rsidR="0063304A" w:rsidRPr="009D3EBB" w:rsidRDefault="0063304A" w:rsidP="0063304A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9D3EBB">
        <w:rPr>
          <w:rFonts w:ascii="Times New Roman" w:eastAsia="仿宋_GB2312" w:hAnsi="Times New Roman" w:hint="eastAsia"/>
          <w:sz w:val="32"/>
          <w:szCs w:val="32"/>
        </w:rPr>
        <w:t>2014</w:t>
      </w:r>
      <w:r w:rsidRPr="009D3EBB">
        <w:rPr>
          <w:rFonts w:ascii="Times New Roman" w:eastAsia="仿宋_GB2312" w:hAnsi="Times New Roman" w:hint="eastAsia"/>
          <w:sz w:val="32"/>
          <w:szCs w:val="32"/>
        </w:rPr>
        <w:t>年，本单位“三公经费”支出合计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0.08</w:t>
      </w:r>
      <w:r w:rsidRPr="009D3EBB">
        <w:rPr>
          <w:rFonts w:ascii="Times New Roman" w:eastAsia="仿宋_GB2312" w:hAnsi="Times New Roman"/>
          <w:sz w:val="32"/>
          <w:szCs w:val="32"/>
        </w:rPr>
        <w:t>万元</w:t>
      </w:r>
      <w:r w:rsidRPr="009D3EBB">
        <w:rPr>
          <w:rFonts w:ascii="Times New Roman" w:eastAsia="仿宋_GB2312" w:hAnsi="Times New Roman" w:hint="eastAsia"/>
          <w:sz w:val="32"/>
          <w:szCs w:val="32"/>
        </w:rPr>
        <w:t>，其中：</w:t>
      </w:r>
    </w:p>
    <w:p w:rsidR="0063304A" w:rsidRPr="009D3EBB" w:rsidRDefault="0063304A" w:rsidP="00A87E78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9D3EBB">
        <w:rPr>
          <w:rFonts w:ascii="Times New Roman" w:eastAsia="仿宋_GB2312" w:hAnsi="Times New Roman" w:hint="eastAsia"/>
          <w:sz w:val="32"/>
          <w:szCs w:val="32"/>
        </w:rPr>
        <w:t>（一）</w:t>
      </w:r>
      <w:r w:rsidR="009D3EBB" w:rsidRPr="009D3EBB">
        <w:rPr>
          <w:rFonts w:ascii="Times New Roman" w:eastAsia="仿宋_GB2312" w:hAnsi="Times New Roman" w:hint="eastAsia"/>
          <w:sz w:val="32"/>
          <w:szCs w:val="32"/>
        </w:rPr>
        <w:t>没有</w:t>
      </w:r>
      <w:r w:rsidRPr="009D3EBB">
        <w:rPr>
          <w:rFonts w:ascii="Times New Roman" w:eastAsia="仿宋_GB2312" w:hAnsi="Times New Roman" w:hint="eastAsia"/>
          <w:sz w:val="32"/>
          <w:szCs w:val="32"/>
        </w:rPr>
        <w:t>因公出国（境）费用支出</w:t>
      </w:r>
      <w:r w:rsidR="00A87E78" w:rsidRPr="009D3EB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C5961" w:rsidRPr="009D3EBB" w:rsidRDefault="00A87E78" w:rsidP="00A87E7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D3EBB">
        <w:rPr>
          <w:rFonts w:ascii="仿宋_GB2312" w:eastAsia="仿宋_GB2312" w:hint="eastAsia"/>
          <w:sz w:val="32"/>
          <w:szCs w:val="32"/>
        </w:rPr>
        <w:t>（二）</w:t>
      </w:r>
      <w:r w:rsidR="009D3EBB" w:rsidRPr="009D3EBB">
        <w:rPr>
          <w:rFonts w:ascii="仿宋_GB2312" w:eastAsia="仿宋_GB2312" w:hint="eastAsia"/>
          <w:sz w:val="32"/>
          <w:szCs w:val="32"/>
        </w:rPr>
        <w:t>没有</w:t>
      </w:r>
      <w:r w:rsidRPr="009D3EBB">
        <w:rPr>
          <w:rFonts w:ascii="仿宋_GB2312" w:eastAsia="仿宋_GB2312" w:hint="eastAsia"/>
          <w:sz w:val="32"/>
          <w:szCs w:val="32"/>
        </w:rPr>
        <w:t>公车购置费支出</w:t>
      </w:r>
      <w:r w:rsidRPr="009D3EBB">
        <w:rPr>
          <w:rFonts w:ascii="Times New Roman" w:eastAsia="仿宋_GB2312" w:hAnsi="Times New Roman" w:hint="eastAsia"/>
          <w:sz w:val="32"/>
          <w:szCs w:val="32"/>
        </w:rPr>
        <w:t>。</w:t>
      </w:r>
      <w:bookmarkStart w:id="0" w:name="_GoBack"/>
      <w:bookmarkEnd w:id="0"/>
    </w:p>
    <w:p w:rsidR="00EC5961" w:rsidRPr="009D3EBB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D3EBB">
        <w:rPr>
          <w:rFonts w:ascii="仿宋_GB2312" w:eastAsia="仿宋_GB2312" w:hint="eastAsia"/>
          <w:sz w:val="32"/>
          <w:szCs w:val="32"/>
        </w:rPr>
        <w:t>（三）</w:t>
      </w:r>
      <w:r w:rsidR="009D3EBB" w:rsidRPr="009D3EBB">
        <w:rPr>
          <w:rFonts w:ascii="仿宋_GB2312" w:eastAsia="仿宋_GB2312" w:hint="eastAsia"/>
          <w:sz w:val="32"/>
          <w:szCs w:val="32"/>
        </w:rPr>
        <w:t>没有</w:t>
      </w:r>
      <w:r w:rsidRPr="009D3EBB">
        <w:rPr>
          <w:rFonts w:ascii="仿宋_GB2312" w:eastAsia="仿宋_GB2312" w:hint="eastAsia"/>
          <w:sz w:val="32"/>
          <w:szCs w:val="32"/>
        </w:rPr>
        <w:t>公车运行维护费支出</w:t>
      </w:r>
      <w:r w:rsidRPr="009D3EB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C5961" w:rsidRPr="009D3EBB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D3EBB">
        <w:rPr>
          <w:rFonts w:ascii="仿宋_GB2312" w:eastAsia="仿宋_GB2312" w:hint="eastAsia"/>
          <w:sz w:val="32"/>
          <w:szCs w:val="32"/>
        </w:rPr>
        <w:t>（四）公务接待费支出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0.08</w:t>
      </w:r>
      <w:r w:rsidRPr="009D3EBB">
        <w:rPr>
          <w:rFonts w:ascii="仿宋_GB2312" w:eastAsia="仿宋_GB2312" w:hint="eastAsia"/>
          <w:sz w:val="32"/>
          <w:szCs w:val="32"/>
        </w:rPr>
        <w:t>万元，全年共接待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1</w:t>
      </w:r>
      <w:r w:rsidRPr="009D3EBB">
        <w:rPr>
          <w:rFonts w:ascii="仿宋_GB2312" w:eastAsia="仿宋_GB2312" w:hint="eastAsia"/>
          <w:sz w:val="32"/>
          <w:szCs w:val="32"/>
        </w:rPr>
        <w:t>批次、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lastRenderedPageBreak/>
        <w:t>10</w:t>
      </w:r>
      <w:r w:rsidRPr="009D3EBB">
        <w:rPr>
          <w:rFonts w:ascii="仿宋_GB2312" w:eastAsia="仿宋_GB2312" w:hint="eastAsia"/>
          <w:sz w:val="32"/>
          <w:szCs w:val="32"/>
        </w:rPr>
        <w:t>人次，</w:t>
      </w:r>
      <w:r w:rsidRPr="009D3EBB">
        <w:rPr>
          <w:rFonts w:ascii="Times New Roman" w:eastAsia="仿宋_GB2312" w:hAnsi="Times New Roman" w:hint="eastAsia"/>
          <w:sz w:val="32"/>
          <w:szCs w:val="32"/>
        </w:rPr>
        <w:t>比</w:t>
      </w:r>
      <w:r w:rsidRPr="009D3EBB">
        <w:rPr>
          <w:rFonts w:ascii="Times New Roman" w:eastAsia="仿宋_GB2312" w:hAnsi="Times New Roman" w:hint="eastAsia"/>
          <w:sz w:val="32"/>
          <w:szCs w:val="32"/>
        </w:rPr>
        <w:t>2014</w:t>
      </w:r>
      <w:r w:rsidRPr="009D3EBB">
        <w:rPr>
          <w:rFonts w:ascii="Times New Roman" w:eastAsia="仿宋_GB2312" w:hAnsi="Times New Roman" w:hint="eastAsia"/>
          <w:sz w:val="32"/>
          <w:szCs w:val="32"/>
        </w:rPr>
        <w:t>年预算减少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2.22</w:t>
      </w:r>
      <w:r w:rsidRPr="009D3EBB">
        <w:rPr>
          <w:rFonts w:ascii="Times New Roman" w:eastAsia="仿宋_GB2312" w:hAnsi="Times New Roman" w:hint="eastAsia"/>
          <w:sz w:val="32"/>
          <w:szCs w:val="32"/>
        </w:rPr>
        <w:t>万元，降低</w:t>
      </w:r>
      <w:r w:rsidR="009D3EBB" w:rsidRPr="009D3EBB">
        <w:rPr>
          <w:rFonts w:ascii="黑体" w:eastAsia="黑体" w:hAnsi="Times New Roman" w:cs="Times New Roman" w:hint="eastAsia"/>
          <w:b/>
          <w:sz w:val="32"/>
          <w:szCs w:val="32"/>
        </w:rPr>
        <w:t>9</w:t>
      </w:r>
      <w:r w:rsidR="00413F8B">
        <w:rPr>
          <w:rFonts w:ascii="黑体" w:eastAsia="黑体" w:hAnsi="Times New Roman" w:cs="Times New Roman" w:hint="eastAsia"/>
          <w:b/>
          <w:sz w:val="32"/>
          <w:szCs w:val="32"/>
        </w:rPr>
        <w:t>7</w:t>
      </w:r>
      <w:r w:rsidRPr="009D3EBB">
        <w:rPr>
          <w:rFonts w:ascii="Times New Roman" w:eastAsia="仿宋_GB2312" w:hAnsi="Times New Roman" w:hint="eastAsia"/>
          <w:sz w:val="32"/>
          <w:szCs w:val="32"/>
        </w:rPr>
        <w:t>%</w:t>
      </w:r>
      <w:r w:rsidRPr="009D3EB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87E78" w:rsidRPr="009D3EBB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87E78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87E78" w:rsidRPr="00413F8B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87E78" w:rsidRPr="00A87E78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87E78" w:rsidRPr="00A87E78" w:rsidSect="00DA11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84" w:rsidRDefault="00936584" w:rsidP="00A87E78">
      <w:r>
        <w:separator/>
      </w:r>
    </w:p>
  </w:endnote>
  <w:endnote w:type="continuationSeparator" w:id="0">
    <w:p w:rsidR="00936584" w:rsidRDefault="00936584" w:rsidP="00A8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0512462"/>
      <w:docPartObj>
        <w:docPartGallery w:val="Page Numbers (Bottom of Page)"/>
        <w:docPartUnique/>
      </w:docPartObj>
    </w:sdtPr>
    <w:sdtContent>
      <w:p w:rsidR="00A87E78" w:rsidRDefault="00D96001">
        <w:pPr>
          <w:pStyle w:val="a4"/>
          <w:jc w:val="center"/>
        </w:pPr>
        <w:r>
          <w:fldChar w:fldCharType="begin"/>
        </w:r>
        <w:r w:rsidR="00A87E78">
          <w:instrText>PAGE   \* MERGEFORMAT</w:instrText>
        </w:r>
        <w:r>
          <w:fldChar w:fldCharType="separate"/>
        </w:r>
        <w:r w:rsidR="00413F8B" w:rsidRPr="00413F8B">
          <w:rPr>
            <w:noProof/>
            <w:lang w:val="zh-CN"/>
          </w:rPr>
          <w:t>3</w:t>
        </w:r>
        <w:r>
          <w:fldChar w:fldCharType="end"/>
        </w:r>
      </w:p>
    </w:sdtContent>
  </w:sdt>
  <w:p w:rsidR="00A87E78" w:rsidRDefault="00A87E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84" w:rsidRDefault="00936584" w:rsidP="00A87E78">
      <w:r>
        <w:separator/>
      </w:r>
    </w:p>
  </w:footnote>
  <w:footnote w:type="continuationSeparator" w:id="0">
    <w:p w:rsidR="00936584" w:rsidRDefault="00936584" w:rsidP="00A87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961"/>
    <w:rsid w:val="00063234"/>
    <w:rsid w:val="00134631"/>
    <w:rsid w:val="001519AD"/>
    <w:rsid w:val="00180F1F"/>
    <w:rsid w:val="00203959"/>
    <w:rsid w:val="00203FBC"/>
    <w:rsid w:val="00216625"/>
    <w:rsid w:val="002300D7"/>
    <w:rsid w:val="002B5CF3"/>
    <w:rsid w:val="002E7906"/>
    <w:rsid w:val="002F04EF"/>
    <w:rsid w:val="00326CB1"/>
    <w:rsid w:val="003402E4"/>
    <w:rsid w:val="00347B34"/>
    <w:rsid w:val="003809AC"/>
    <w:rsid w:val="00381456"/>
    <w:rsid w:val="0041378F"/>
    <w:rsid w:val="00413F8B"/>
    <w:rsid w:val="00451C48"/>
    <w:rsid w:val="00470393"/>
    <w:rsid w:val="004A2B86"/>
    <w:rsid w:val="004A6077"/>
    <w:rsid w:val="004C792F"/>
    <w:rsid w:val="004E37FD"/>
    <w:rsid w:val="004E6024"/>
    <w:rsid w:val="00521DC7"/>
    <w:rsid w:val="00550794"/>
    <w:rsid w:val="00592CE7"/>
    <w:rsid w:val="005F1CEA"/>
    <w:rsid w:val="005F3DB7"/>
    <w:rsid w:val="0063304A"/>
    <w:rsid w:val="00647005"/>
    <w:rsid w:val="00671B7E"/>
    <w:rsid w:val="00681FB1"/>
    <w:rsid w:val="006B03BF"/>
    <w:rsid w:val="006B091C"/>
    <w:rsid w:val="00702D73"/>
    <w:rsid w:val="00712D1F"/>
    <w:rsid w:val="00744C8D"/>
    <w:rsid w:val="007822D5"/>
    <w:rsid w:val="007937E4"/>
    <w:rsid w:val="008206E1"/>
    <w:rsid w:val="008408EC"/>
    <w:rsid w:val="00883E5C"/>
    <w:rsid w:val="008903A2"/>
    <w:rsid w:val="008B4575"/>
    <w:rsid w:val="008D1C3E"/>
    <w:rsid w:val="00902728"/>
    <w:rsid w:val="00915EA7"/>
    <w:rsid w:val="00936584"/>
    <w:rsid w:val="009A1C21"/>
    <w:rsid w:val="009B5280"/>
    <w:rsid w:val="009C339A"/>
    <w:rsid w:val="009D3EBB"/>
    <w:rsid w:val="00A43237"/>
    <w:rsid w:val="00A7207A"/>
    <w:rsid w:val="00A87E78"/>
    <w:rsid w:val="00B071F5"/>
    <w:rsid w:val="00B113F5"/>
    <w:rsid w:val="00B15430"/>
    <w:rsid w:val="00B329A5"/>
    <w:rsid w:val="00B73A19"/>
    <w:rsid w:val="00C57F59"/>
    <w:rsid w:val="00C62410"/>
    <w:rsid w:val="00CB4863"/>
    <w:rsid w:val="00D25B82"/>
    <w:rsid w:val="00D96001"/>
    <w:rsid w:val="00DA1171"/>
    <w:rsid w:val="00DA7C17"/>
    <w:rsid w:val="00DB55CE"/>
    <w:rsid w:val="00DF52EA"/>
    <w:rsid w:val="00E13867"/>
    <w:rsid w:val="00E36EDD"/>
    <w:rsid w:val="00E60A59"/>
    <w:rsid w:val="00E66D5E"/>
    <w:rsid w:val="00E77156"/>
    <w:rsid w:val="00E83E39"/>
    <w:rsid w:val="00EA131A"/>
    <w:rsid w:val="00EB2D63"/>
    <w:rsid w:val="00EC5961"/>
    <w:rsid w:val="00F22D1F"/>
    <w:rsid w:val="00F53474"/>
    <w:rsid w:val="00F83552"/>
    <w:rsid w:val="00F92E21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E78"/>
    <w:rPr>
      <w:sz w:val="18"/>
      <w:szCs w:val="18"/>
    </w:rPr>
  </w:style>
  <w:style w:type="paragraph" w:styleId="a5">
    <w:name w:val="Normal (Web)"/>
    <w:basedOn w:val="a"/>
    <w:rsid w:val="009D3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E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黎少冰</cp:lastModifiedBy>
  <cp:revision>8</cp:revision>
  <cp:lastPrinted>2015-10-26T07:42:00Z</cp:lastPrinted>
  <dcterms:created xsi:type="dcterms:W3CDTF">2015-10-12T03:32:00Z</dcterms:created>
  <dcterms:modified xsi:type="dcterms:W3CDTF">2015-10-26T07:45:00Z</dcterms:modified>
</cp:coreProperties>
</file>