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961" w:rsidRPr="00793675" w:rsidRDefault="00EC5961" w:rsidP="00793675">
      <w:pPr>
        <w:spacing w:line="620" w:lineRule="exact"/>
        <w:jc w:val="center"/>
        <w:rPr>
          <w:rFonts w:ascii="方正小标宋简体" w:eastAsia="方正小标宋简体"/>
          <w:sz w:val="32"/>
          <w:szCs w:val="32"/>
        </w:rPr>
      </w:pPr>
      <w:r w:rsidRPr="00793675">
        <w:rPr>
          <w:rFonts w:ascii="方正小标宋简体" w:eastAsia="方正小标宋简体" w:hint="eastAsia"/>
          <w:sz w:val="32"/>
          <w:szCs w:val="32"/>
        </w:rPr>
        <w:t>2014年</w:t>
      </w:r>
      <w:r w:rsidR="00793675" w:rsidRPr="00793675">
        <w:rPr>
          <w:rFonts w:ascii="方正小标宋简体" w:eastAsia="方正小标宋简体" w:hint="eastAsia"/>
          <w:sz w:val="32"/>
          <w:szCs w:val="32"/>
        </w:rPr>
        <w:t>东莞市财政局</w:t>
      </w:r>
      <w:r w:rsidRPr="00793675">
        <w:rPr>
          <w:rFonts w:ascii="方正小标宋简体" w:eastAsia="方正小标宋简体" w:hint="eastAsia"/>
          <w:sz w:val="32"/>
          <w:szCs w:val="32"/>
        </w:rPr>
        <w:t>部门决算情况说明</w:t>
      </w:r>
    </w:p>
    <w:p w:rsidR="00EC5961" w:rsidRPr="00EC5961" w:rsidRDefault="00EC5961" w:rsidP="00EC5961">
      <w:pPr>
        <w:rPr>
          <w:rFonts w:ascii="仿宋_GB2312" w:eastAsia="仿宋_GB2312"/>
          <w:sz w:val="32"/>
          <w:szCs w:val="32"/>
        </w:rPr>
      </w:pPr>
      <w:r w:rsidRPr="00EC5961">
        <w:rPr>
          <w:rFonts w:ascii="仿宋_GB2312" w:eastAsia="仿宋_GB2312" w:hint="eastAsia"/>
          <w:sz w:val="32"/>
          <w:szCs w:val="32"/>
        </w:rPr>
        <w:tab/>
      </w:r>
    </w:p>
    <w:p w:rsidR="00EC5961" w:rsidRPr="00EC5961" w:rsidRDefault="00EC5961" w:rsidP="00EC5961">
      <w:pPr>
        <w:ind w:firstLineChars="200" w:firstLine="640"/>
        <w:rPr>
          <w:rFonts w:ascii="黑体" w:eastAsia="黑体"/>
          <w:sz w:val="32"/>
          <w:szCs w:val="32"/>
        </w:rPr>
      </w:pPr>
      <w:r w:rsidRPr="00EC5961">
        <w:rPr>
          <w:rFonts w:ascii="黑体" w:eastAsia="黑体" w:hint="eastAsia"/>
          <w:sz w:val="32"/>
          <w:szCs w:val="32"/>
        </w:rPr>
        <w:t>一、部门基本情况</w:t>
      </w:r>
    </w:p>
    <w:p w:rsidR="00625CB4" w:rsidRDefault="00625CB4" w:rsidP="00625CB4">
      <w:pPr>
        <w:ind w:firstLineChars="200" w:firstLine="620"/>
        <w:rPr>
          <w:rFonts w:ascii="Times New Roman" w:eastAsia="仿宋_GB2312" w:hAnsi="Times New Roman" w:cs="Times New Roman"/>
          <w:sz w:val="31"/>
          <w:szCs w:val="31"/>
        </w:rPr>
      </w:pPr>
      <w:r w:rsidRPr="00995777">
        <w:rPr>
          <w:rFonts w:ascii="Times New Roman" w:eastAsia="仿宋_GB2312" w:hAnsi="Times New Roman" w:cs="Times New Roman" w:hint="eastAsia"/>
          <w:sz w:val="31"/>
          <w:szCs w:val="31"/>
        </w:rPr>
        <w:t>东莞市财政局</w:t>
      </w:r>
      <w:proofErr w:type="gramStart"/>
      <w:r w:rsidRPr="00995777">
        <w:rPr>
          <w:rFonts w:ascii="Times New Roman" w:eastAsia="仿宋_GB2312" w:hAnsi="Times New Roman" w:cs="Times New Roman" w:hint="eastAsia"/>
          <w:sz w:val="31"/>
          <w:szCs w:val="31"/>
        </w:rPr>
        <w:t>设行政</w:t>
      </w:r>
      <w:proofErr w:type="gramEnd"/>
      <w:r w:rsidRPr="00995777">
        <w:rPr>
          <w:rFonts w:ascii="Times New Roman" w:eastAsia="仿宋_GB2312" w:hAnsi="Times New Roman" w:cs="Times New Roman" w:hint="eastAsia"/>
          <w:sz w:val="31"/>
          <w:szCs w:val="31"/>
        </w:rPr>
        <w:t>单位</w:t>
      </w:r>
      <w:r w:rsidRPr="00995777">
        <w:rPr>
          <w:rFonts w:ascii="Times New Roman" w:eastAsia="仿宋_GB2312" w:hAnsi="Times New Roman" w:cs="Times New Roman" w:hint="eastAsia"/>
          <w:sz w:val="31"/>
          <w:szCs w:val="31"/>
        </w:rPr>
        <w:t>1</w:t>
      </w:r>
      <w:r w:rsidRPr="00995777">
        <w:rPr>
          <w:rFonts w:ascii="Times New Roman" w:eastAsia="仿宋_GB2312" w:hAnsi="Times New Roman" w:cs="Times New Roman" w:hint="eastAsia"/>
          <w:sz w:val="31"/>
          <w:szCs w:val="31"/>
        </w:rPr>
        <w:t>个，其中，内设</w:t>
      </w:r>
      <w:r>
        <w:rPr>
          <w:rFonts w:ascii="Times New Roman" w:eastAsia="仿宋_GB2312" w:hAnsi="Times New Roman" w:cs="Times New Roman" w:hint="eastAsia"/>
          <w:sz w:val="31"/>
          <w:szCs w:val="31"/>
        </w:rPr>
        <w:t>17</w:t>
      </w:r>
      <w:r w:rsidRPr="00995777">
        <w:rPr>
          <w:rFonts w:ascii="Times New Roman" w:eastAsia="仿宋_GB2312" w:hAnsi="Times New Roman" w:cs="Times New Roman" w:hint="eastAsia"/>
          <w:sz w:val="31"/>
          <w:szCs w:val="31"/>
        </w:rPr>
        <w:t>个科室、</w:t>
      </w:r>
      <w:r w:rsidRPr="00995777">
        <w:rPr>
          <w:rFonts w:ascii="Times New Roman" w:eastAsia="仿宋_GB2312" w:hAnsi="Times New Roman" w:cs="Times New Roman" w:hint="eastAsia"/>
          <w:sz w:val="31"/>
          <w:szCs w:val="31"/>
        </w:rPr>
        <w:t>1</w:t>
      </w:r>
      <w:r w:rsidRPr="00995777">
        <w:rPr>
          <w:rFonts w:ascii="Times New Roman" w:eastAsia="仿宋_GB2312" w:hAnsi="Times New Roman" w:cs="Times New Roman" w:hint="eastAsia"/>
          <w:sz w:val="31"/>
          <w:szCs w:val="31"/>
        </w:rPr>
        <w:t>个派出机构（东莞市财政局直属分局）和市纪委派驻财政局纪检组。</w:t>
      </w:r>
    </w:p>
    <w:p w:rsidR="00EC5961" w:rsidRDefault="00EC5961" w:rsidP="00625CB4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二、主要职能</w:t>
      </w:r>
    </w:p>
    <w:p w:rsidR="00625CB4" w:rsidRDefault="00625CB4" w:rsidP="00625CB4">
      <w:pPr>
        <w:ind w:firstLineChars="200" w:firstLine="620"/>
        <w:rPr>
          <w:rFonts w:ascii="仿宋_GB2312" w:eastAsia="仿宋_GB2312" w:hAnsi="Times New Roman" w:cs="Times New Roman"/>
          <w:sz w:val="31"/>
          <w:szCs w:val="31"/>
        </w:rPr>
      </w:pPr>
      <w:proofErr w:type="gramStart"/>
      <w:r w:rsidRPr="00995777">
        <w:rPr>
          <w:rFonts w:ascii="仿宋_GB2312" w:eastAsia="仿宋_GB2312" w:hint="eastAsia"/>
          <w:sz w:val="31"/>
          <w:szCs w:val="31"/>
        </w:rPr>
        <w:t>彻</w:t>
      </w:r>
      <w:proofErr w:type="gramEnd"/>
      <w:r w:rsidRPr="00995777">
        <w:rPr>
          <w:rFonts w:ascii="仿宋_GB2312" w:eastAsia="仿宋_GB2312" w:hint="eastAsia"/>
          <w:sz w:val="31"/>
          <w:szCs w:val="31"/>
        </w:rPr>
        <w:t>执行国家和省财政、税收、国有资产监督管理的法规、制度和方针政策；组织拟订财政、资产、财务会计等方面的地方性管理规章、办法和制度，并监督实施；拟订财政发展战略、中长期财政规划，参与制定各项宏观经济政策；执行中央与地方、国家与企业的分配政策；制定市对镇区的财政分配体制，推进转移支付制度；提出运用财税政策实施宏观调控和综合平衡社会财力的建议；编制年度市级预决算草案并组织执行，受市人民政府委托，向市人民代表大会报告我市预算及其执行情况，向市人大常委会报告决算；制定财政和预算收入计划；管理和监督各项财政收入，管理和监缴国有资产收益、行政事业性收费和罚没收入以及其他各项预算外收入等；负责建立和实施国库集中收付制度；监督财税方针、政策、法规和财会制度的执行情况；制订财政支出绩效评价指标体系及评价标准，组织实施财政支出绩效评价等工作</w:t>
      </w:r>
      <w:r w:rsidRPr="00995777">
        <w:rPr>
          <w:rFonts w:ascii="仿宋_GB2312" w:eastAsia="仿宋_GB2312" w:hAnsi="Times New Roman" w:cs="Times New Roman" w:hint="eastAsia"/>
          <w:sz w:val="31"/>
          <w:szCs w:val="31"/>
        </w:rPr>
        <w:t>。</w:t>
      </w:r>
    </w:p>
    <w:p w:rsidR="00EC5961" w:rsidRPr="008533B5" w:rsidRDefault="00EC5961" w:rsidP="00625CB4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三</w:t>
      </w:r>
      <w:r w:rsidRPr="008533B5">
        <w:rPr>
          <w:rFonts w:ascii="Times New Roman" w:eastAsia="黑体" w:hAnsi="Times New Roman" w:cs="Times New Roman"/>
          <w:sz w:val="32"/>
          <w:szCs w:val="32"/>
        </w:rPr>
        <w:t>、人员情况</w:t>
      </w:r>
    </w:p>
    <w:p w:rsidR="0063304A" w:rsidRPr="004F77BB" w:rsidRDefault="0063304A" w:rsidP="00625CB4">
      <w:pPr>
        <w:pStyle w:val="a5"/>
        <w:ind w:firstLine="567"/>
        <w:rPr>
          <w:rFonts w:ascii="Times New Roman" w:eastAsia="仿宋_GB2312" w:hAnsi="Times New Roman" w:cs="Times New Roman"/>
          <w:kern w:val="2"/>
          <w:sz w:val="31"/>
          <w:szCs w:val="31"/>
        </w:rPr>
      </w:pPr>
      <w:bookmarkStart w:id="0" w:name="_GoBack"/>
      <w:r w:rsidRPr="004F77BB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至2014年底，</w:t>
      </w:r>
      <w:r w:rsidR="00625CB4" w:rsidRPr="004F77BB">
        <w:rPr>
          <w:rFonts w:ascii="Times New Roman" w:eastAsia="仿宋_GB2312" w:hAnsi="Times New Roman" w:cs="Times New Roman" w:hint="eastAsia"/>
          <w:kern w:val="2"/>
          <w:sz w:val="31"/>
          <w:szCs w:val="31"/>
        </w:rPr>
        <w:t>东莞市财政局共有编制</w:t>
      </w:r>
      <w:r w:rsidR="00625CB4" w:rsidRPr="004F77BB">
        <w:rPr>
          <w:rFonts w:ascii="Times New Roman" w:eastAsia="仿宋_GB2312" w:hAnsi="Times New Roman" w:cs="Times New Roman" w:hint="eastAsia"/>
          <w:kern w:val="2"/>
          <w:sz w:val="31"/>
          <w:szCs w:val="31"/>
        </w:rPr>
        <w:t>117</w:t>
      </w:r>
      <w:r w:rsidR="00625CB4" w:rsidRPr="004F77BB">
        <w:rPr>
          <w:rFonts w:ascii="Times New Roman" w:eastAsia="仿宋_GB2312" w:hAnsi="Times New Roman" w:cs="Times New Roman" w:hint="eastAsia"/>
          <w:kern w:val="2"/>
          <w:sz w:val="31"/>
          <w:szCs w:val="31"/>
        </w:rPr>
        <w:t>名。财政实际全额供给在职人数</w:t>
      </w:r>
      <w:r w:rsidR="00625CB4" w:rsidRPr="004F77BB">
        <w:rPr>
          <w:rFonts w:ascii="Times New Roman" w:eastAsia="仿宋_GB2312" w:hAnsi="Times New Roman" w:cs="Times New Roman" w:hint="eastAsia"/>
          <w:kern w:val="2"/>
          <w:sz w:val="31"/>
          <w:szCs w:val="31"/>
        </w:rPr>
        <w:t>106</w:t>
      </w:r>
      <w:r w:rsidR="00625CB4" w:rsidRPr="004F77BB">
        <w:rPr>
          <w:rFonts w:ascii="Times New Roman" w:eastAsia="仿宋_GB2312" w:hAnsi="Times New Roman" w:cs="Times New Roman" w:hint="eastAsia"/>
          <w:kern w:val="2"/>
          <w:sz w:val="31"/>
          <w:szCs w:val="31"/>
        </w:rPr>
        <w:t>人，其中行政事业人员</w:t>
      </w:r>
      <w:r w:rsidR="00625CB4" w:rsidRPr="004F77BB">
        <w:rPr>
          <w:rFonts w:ascii="Times New Roman" w:eastAsia="仿宋_GB2312" w:hAnsi="Times New Roman" w:cs="Times New Roman" w:hint="eastAsia"/>
          <w:kern w:val="2"/>
          <w:sz w:val="31"/>
          <w:szCs w:val="31"/>
        </w:rPr>
        <w:t>98</w:t>
      </w:r>
      <w:r w:rsidR="00625CB4" w:rsidRPr="004F77BB">
        <w:rPr>
          <w:rFonts w:ascii="Times New Roman" w:eastAsia="仿宋_GB2312" w:hAnsi="Times New Roman" w:cs="Times New Roman" w:hint="eastAsia"/>
          <w:kern w:val="2"/>
          <w:sz w:val="31"/>
          <w:szCs w:val="31"/>
        </w:rPr>
        <w:t>人，工勤人员</w:t>
      </w:r>
      <w:r w:rsidR="00625CB4" w:rsidRPr="004F77BB">
        <w:rPr>
          <w:rFonts w:ascii="Times New Roman" w:eastAsia="仿宋_GB2312" w:hAnsi="Times New Roman" w:cs="Times New Roman" w:hint="eastAsia"/>
          <w:kern w:val="2"/>
          <w:sz w:val="31"/>
          <w:szCs w:val="31"/>
        </w:rPr>
        <w:t>8</w:t>
      </w:r>
      <w:r w:rsidR="00625CB4" w:rsidRPr="004F77BB">
        <w:rPr>
          <w:rFonts w:ascii="Times New Roman" w:eastAsia="仿宋_GB2312" w:hAnsi="Times New Roman" w:cs="Times New Roman" w:hint="eastAsia"/>
          <w:kern w:val="2"/>
          <w:sz w:val="31"/>
          <w:szCs w:val="31"/>
        </w:rPr>
        <w:t>人；</w:t>
      </w:r>
      <w:proofErr w:type="gramStart"/>
      <w:r w:rsidR="00625CB4" w:rsidRPr="004F77BB">
        <w:rPr>
          <w:rFonts w:ascii="Times New Roman" w:eastAsia="仿宋_GB2312" w:hAnsi="Times New Roman" w:cs="Times New Roman" w:hint="eastAsia"/>
          <w:kern w:val="2"/>
          <w:sz w:val="31"/>
          <w:szCs w:val="31"/>
        </w:rPr>
        <w:t>普通聘员</w:t>
      </w:r>
      <w:proofErr w:type="gramEnd"/>
      <w:r w:rsidR="00625CB4" w:rsidRPr="004F77BB">
        <w:rPr>
          <w:rFonts w:ascii="Times New Roman" w:eastAsia="仿宋_GB2312" w:hAnsi="Times New Roman" w:cs="Times New Roman" w:hint="eastAsia"/>
          <w:kern w:val="2"/>
          <w:sz w:val="31"/>
          <w:szCs w:val="31"/>
        </w:rPr>
        <w:t>3</w:t>
      </w:r>
      <w:r w:rsidR="00625CB4" w:rsidRPr="004F77BB">
        <w:rPr>
          <w:rFonts w:ascii="Times New Roman" w:eastAsia="仿宋_GB2312" w:hAnsi="Times New Roman" w:cs="Times New Roman" w:hint="eastAsia"/>
          <w:kern w:val="2"/>
          <w:sz w:val="31"/>
          <w:szCs w:val="31"/>
        </w:rPr>
        <w:t>人。另外，有离退休</w:t>
      </w:r>
      <w:r w:rsidR="00625CB4" w:rsidRPr="004F77BB">
        <w:rPr>
          <w:rFonts w:ascii="Times New Roman" w:eastAsia="仿宋_GB2312" w:hAnsi="Times New Roman" w:cs="Times New Roman" w:hint="eastAsia"/>
          <w:kern w:val="2"/>
          <w:sz w:val="31"/>
          <w:szCs w:val="31"/>
        </w:rPr>
        <w:t>34</w:t>
      </w:r>
      <w:r w:rsidR="00625CB4" w:rsidRPr="004F77BB">
        <w:rPr>
          <w:rFonts w:ascii="Times New Roman" w:eastAsia="仿宋_GB2312" w:hAnsi="Times New Roman" w:cs="Times New Roman" w:hint="eastAsia"/>
          <w:kern w:val="2"/>
          <w:sz w:val="31"/>
          <w:szCs w:val="31"/>
        </w:rPr>
        <w:t>人。</w:t>
      </w:r>
    </w:p>
    <w:bookmarkEnd w:id="0"/>
    <w:p w:rsidR="0063304A" w:rsidRPr="0063304A" w:rsidRDefault="0063304A" w:rsidP="0063304A">
      <w:pPr>
        <w:ind w:firstLineChars="200" w:firstLine="640"/>
        <w:rPr>
          <w:rFonts w:ascii="黑体" w:eastAsia="黑体"/>
          <w:sz w:val="32"/>
          <w:szCs w:val="32"/>
        </w:rPr>
      </w:pPr>
      <w:r w:rsidRPr="0063304A">
        <w:rPr>
          <w:rFonts w:ascii="黑体" w:eastAsia="黑体" w:hint="eastAsia"/>
          <w:sz w:val="32"/>
          <w:szCs w:val="32"/>
        </w:rPr>
        <w:t>四、决算年度主要工作任务</w:t>
      </w:r>
    </w:p>
    <w:p w:rsidR="00C03D32" w:rsidRPr="00C03D32" w:rsidRDefault="00C03D32" w:rsidP="00C03D32">
      <w:pPr>
        <w:spacing w:line="60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C03D32">
        <w:rPr>
          <w:rFonts w:ascii="仿宋_GB2312" w:eastAsia="仿宋_GB2312" w:hint="eastAsia"/>
          <w:sz w:val="32"/>
          <w:szCs w:val="32"/>
        </w:rPr>
        <w:t>2014年，市财政局紧紧围绕“加快转型升级、建设幸福东莞、实现高水平崛起”的战略目标，依法组织财政收入，</w:t>
      </w:r>
      <w:r w:rsidRPr="00C03D32">
        <w:rPr>
          <w:rFonts w:ascii="仿宋_GB2312" w:eastAsia="仿宋_GB2312" w:hAnsi="Calibri" w:cs="Times New Roman" w:hint="eastAsia"/>
          <w:sz w:val="32"/>
          <w:szCs w:val="32"/>
        </w:rPr>
        <w:t>严格落实预算支出，全面深化财政改革，有力促进了我市经济社会的平稳健康发展。</w:t>
      </w:r>
    </w:p>
    <w:p w:rsidR="00C03D32" w:rsidRPr="00C03D32" w:rsidRDefault="00C03D32" w:rsidP="00C03D32">
      <w:pPr>
        <w:spacing w:line="600" w:lineRule="exact"/>
        <w:ind w:firstLineChars="200" w:firstLine="643"/>
        <w:rPr>
          <w:rFonts w:ascii="仿宋_GB2312" w:eastAsia="仿宋_GB2312" w:hAnsi="Calibri" w:cs="Times New Roman"/>
          <w:sz w:val="32"/>
          <w:szCs w:val="32"/>
        </w:rPr>
      </w:pPr>
      <w:r w:rsidRPr="00C03D32">
        <w:rPr>
          <w:rFonts w:ascii="仿宋_GB2312" w:eastAsia="仿宋_GB2312" w:hAnsi="Calibri" w:cs="Times New Roman" w:hint="eastAsia"/>
          <w:b/>
          <w:sz w:val="32"/>
          <w:szCs w:val="32"/>
        </w:rPr>
        <w:t>狠抓财政收入征管，圆满完成全年收入任务。</w:t>
      </w:r>
      <w:r w:rsidRPr="00C03D32">
        <w:rPr>
          <w:rFonts w:ascii="仿宋_GB2312" w:eastAsia="仿宋_GB2312" w:hAnsi="Calibri" w:cs="Times New Roman" w:hint="eastAsia"/>
          <w:sz w:val="32"/>
          <w:szCs w:val="32"/>
        </w:rPr>
        <w:t>2014年，来源于东莞的财政收入1066.2亿元，首次突破千亿元大关。其中</w:t>
      </w:r>
      <w:proofErr w:type="gramStart"/>
      <w:r w:rsidRPr="00C03D32">
        <w:rPr>
          <w:rFonts w:ascii="仿宋_GB2312" w:eastAsia="仿宋_GB2312" w:hAnsi="Calibri" w:cs="Times New Roman" w:hint="eastAsia"/>
          <w:sz w:val="32"/>
          <w:szCs w:val="32"/>
        </w:rPr>
        <w:t>市一般</w:t>
      </w:r>
      <w:proofErr w:type="gramEnd"/>
      <w:r w:rsidRPr="00C03D32">
        <w:rPr>
          <w:rFonts w:ascii="仿宋_GB2312" w:eastAsia="仿宋_GB2312" w:hAnsi="Calibri" w:cs="Times New Roman" w:hint="eastAsia"/>
          <w:sz w:val="32"/>
          <w:szCs w:val="32"/>
        </w:rPr>
        <w:t>公共预算收入455.2亿元，同比增长11.22%，圆满完成年初增长10%的任务，收入总量稳居全省第四，增幅在全省排名上升3位。2014年</w:t>
      </w:r>
      <w:proofErr w:type="gramStart"/>
      <w:r w:rsidRPr="00C03D32">
        <w:rPr>
          <w:rFonts w:ascii="仿宋_GB2312" w:eastAsia="仿宋_GB2312" w:hAnsi="Calibri" w:cs="Times New Roman" w:hint="eastAsia"/>
          <w:sz w:val="32"/>
          <w:szCs w:val="32"/>
        </w:rPr>
        <w:t>市一般</w:t>
      </w:r>
      <w:proofErr w:type="gramEnd"/>
      <w:r w:rsidRPr="00C03D32">
        <w:rPr>
          <w:rFonts w:ascii="仿宋_GB2312" w:eastAsia="仿宋_GB2312" w:hAnsi="Calibri" w:cs="Times New Roman" w:hint="eastAsia"/>
          <w:sz w:val="32"/>
          <w:szCs w:val="32"/>
        </w:rPr>
        <w:t>公共预算收入中，税收收入占比达80.2%，财政收入质量仅次于深圳、珠海，位居全省第三。在非税收入方面，一方面严格落实上级税费减免政策，另一方面积极谋划、主动作为，全年非税收入完成90.5亿元，为一般公共预算收入超额完成做出了重要贡献。</w:t>
      </w:r>
      <w:r w:rsidRPr="00C03D32">
        <w:rPr>
          <w:rFonts w:ascii="仿宋_GB2312" w:eastAsia="仿宋_GB2312" w:hAnsi="Calibri" w:cs="Times New Roman" w:hint="eastAsia"/>
          <w:kern w:val="0"/>
          <w:sz w:val="32"/>
          <w:szCs w:val="32"/>
        </w:rPr>
        <w:t xml:space="preserve"> </w:t>
      </w:r>
    </w:p>
    <w:p w:rsidR="00067440" w:rsidRDefault="00C03D32" w:rsidP="00C03D32">
      <w:pPr>
        <w:spacing w:line="600" w:lineRule="exact"/>
        <w:ind w:firstLineChars="200" w:firstLine="643"/>
        <w:rPr>
          <w:rFonts w:ascii="仿宋_GB2312" w:eastAsia="仿宋_GB2312" w:hAnsi="Calibri" w:cs="Times New Roman" w:hint="eastAsia"/>
          <w:sz w:val="32"/>
          <w:szCs w:val="32"/>
        </w:rPr>
      </w:pPr>
      <w:r w:rsidRPr="00C03D32">
        <w:rPr>
          <w:rFonts w:ascii="仿宋_GB2312" w:eastAsia="仿宋_GB2312" w:hAnsi="Calibri" w:cs="Times New Roman" w:hint="eastAsia"/>
          <w:b/>
          <w:sz w:val="32"/>
          <w:szCs w:val="32"/>
        </w:rPr>
        <w:t>全力优化支出结构，有力保障各项工作顺利开展。</w:t>
      </w:r>
      <w:r w:rsidRPr="00C03D32">
        <w:rPr>
          <w:rFonts w:ascii="仿宋_GB2312" w:eastAsia="仿宋_GB2312" w:hAnsi="Calibri" w:cs="Times New Roman" w:hint="eastAsia"/>
          <w:sz w:val="32"/>
          <w:szCs w:val="32"/>
        </w:rPr>
        <w:t>2014年，市财政支出719亿元，其中市本级安排支出331.8亿元，有力保障了市委、市政府稳增长、调结构、惠民</w:t>
      </w:r>
      <w:proofErr w:type="gramStart"/>
      <w:r w:rsidRPr="00C03D32">
        <w:rPr>
          <w:rFonts w:ascii="仿宋_GB2312" w:eastAsia="仿宋_GB2312" w:hAnsi="Calibri" w:cs="Times New Roman" w:hint="eastAsia"/>
          <w:sz w:val="32"/>
          <w:szCs w:val="32"/>
        </w:rPr>
        <w:t>生各项</w:t>
      </w:r>
      <w:proofErr w:type="gramEnd"/>
      <w:r w:rsidRPr="00C03D32">
        <w:rPr>
          <w:rFonts w:ascii="仿宋_GB2312" w:eastAsia="仿宋_GB2312" w:hAnsi="Calibri" w:cs="Times New Roman" w:hint="eastAsia"/>
          <w:sz w:val="32"/>
          <w:szCs w:val="32"/>
        </w:rPr>
        <w:t>政策措施以及重大平台建设的落实。投入“科技东莞”、“人才东莞”和“文化东莞”等专项资金40亿元，大力支持“机器</w:t>
      </w:r>
      <w:r w:rsidRPr="00C03D32">
        <w:rPr>
          <w:rFonts w:ascii="仿宋_GB2312" w:eastAsia="仿宋_GB2312" w:hAnsi="Calibri" w:cs="Times New Roman" w:hint="eastAsia"/>
          <w:sz w:val="32"/>
          <w:szCs w:val="32"/>
        </w:rPr>
        <w:lastRenderedPageBreak/>
        <w:t>换人”和电子商务，促进科技金融产业三融合，助推实体经济发展；投入25.1亿元，加大对镇街均衡性转移支付力度和补助村（社区）基本公共服务支出，大大减轻了欠发达镇街的支出压力，村组资产负债率创历史新低；</w:t>
      </w:r>
      <w:r w:rsidRPr="00C03D32">
        <w:rPr>
          <w:rFonts w:ascii="仿宋_GB2312" w:eastAsia="仿宋_GB2312" w:hAnsi="Calibri" w:cs="Times New Roman" w:hint="eastAsia"/>
          <w:color w:val="000000"/>
          <w:sz w:val="32"/>
          <w:szCs w:val="32"/>
        </w:rPr>
        <w:t>加大民生投入，</w:t>
      </w:r>
      <w:r w:rsidRPr="00C03D32">
        <w:rPr>
          <w:rFonts w:ascii="仿宋_GB2312" w:eastAsia="仿宋_GB2312" w:hAnsi="Calibri" w:cs="Times New Roman" w:hint="eastAsia"/>
          <w:sz w:val="32"/>
          <w:szCs w:val="32"/>
        </w:rPr>
        <w:t>2014年市本级用于民生方面的支出252.3亿元，比上年增长22.6亿元，进一步提高了免费义务教育补助标准，提高了困难群体的保障水平。</w:t>
      </w:r>
    </w:p>
    <w:p w:rsidR="00C03D32" w:rsidRPr="00C03D32" w:rsidRDefault="00C03D32" w:rsidP="00067440">
      <w:pPr>
        <w:spacing w:line="600" w:lineRule="exact"/>
        <w:ind w:firstLineChars="200" w:firstLine="643"/>
        <w:rPr>
          <w:rFonts w:ascii="仿宋_GB2312" w:eastAsia="仿宋_GB2312" w:hAnsi="Calibri" w:cs="Times New Roman"/>
          <w:sz w:val="32"/>
          <w:szCs w:val="32"/>
        </w:rPr>
      </w:pPr>
      <w:r w:rsidRPr="00C03D32">
        <w:rPr>
          <w:rFonts w:ascii="仿宋_GB2312" w:eastAsia="仿宋_GB2312" w:hAnsi="Calibri" w:cs="Times New Roman" w:hint="eastAsia"/>
          <w:b/>
          <w:sz w:val="32"/>
          <w:szCs w:val="32"/>
        </w:rPr>
        <w:t>稳步推进改革创新，推动科学理财再上新台阶。</w:t>
      </w:r>
      <w:r w:rsidRPr="00C03D32">
        <w:rPr>
          <w:rFonts w:ascii="仿宋_GB2312" w:eastAsia="仿宋_GB2312" w:hAnsi="Calibri" w:cs="Times New Roman" w:hint="eastAsia"/>
          <w:sz w:val="32"/>
          <w:szCs w:val="32"/>
        </w:rPr>
        <w:t>进一步理顺了市镇财政管理体制，加大对镇街的转移支付力度，在加大对欠发达镇街扶持的同时调动镇街增收的积极性，做到了扶持与激励并举。编制了一般公共预算、政府性基金预算、国有资本经营预算和社会保险预算四本预算，完善了全口径预算体系。推进预算信息公开透明，“三公”经费预算公开范围扩大至全市300多个行政事业单位，首度公开64个市直部门决算及“三公”决算信息。强化地方政府债务管控，全面开展地方政府性债务清理甄别工作，统一政府性债务口径，摸清了存量债务规模，合理界定了政府偿债责任。全市</w:t>
      </w:r>
      <w:r w:rsidRPr="00C03D32">
        <w:rPr>
          <w:rFonts w:ascii="仿宋_GB2312" w:eastAsia="仿宋_GB2312" w:hAnsi="Calibri" w:cs="Times New Roman" w:hint="eastAsia"/>
          <w:kern w:val="0"/>
          <w:sz w:val="32"/>
          <w:szCs w:val="32"/>
        </w:rPr>
        <w:t>债务规模处于合理水平，债务风险合理可控。</w:t>
      </w:r>
      <w:r w:rsidRPr="00C03D32">
        <w:rPr>
          <w:rFonts w:ascii="仿宋_GB2312" w:eastAsia="仿宋_GB2312" w:hAnsi="Calibri" w:cs="Times New Roman" w:hint="eastAsia"/>
          <w:sz w:val="32"/>
          <w:szCs w:val="32"/>
        </w:rPr>
        <w:t>大力推进节能减</w:t>
      </w:r>
      <w:proofErr w:type="gramStart"/>
      <w:r w:rsidRPr="00C03D32">
        <w:rPr>
          <w:rFonts w:ascii="仿宋_GB2312" w:eastAsia="仿宋_GB2312" w:hAnsi="Calibri" w:cs="Times New Roman" w:hint="eastAsia"/>
          <w:sz w:val="32"/>
          <w:szCs w:val="32"/>
        </w:rPr>
        <w:t>排财政</w:t>
      </w:r>
      <w:proofErr w:type="gramEnd"/>
      <w:r w:rsidRPr="00C03D32">
        <w:rPr>
          <w:rFonts w:ascii="仿宋_GB2312" w:eastAsia="仿宋_GB2312" w:hAnsi="Calibri" w:cs="Times New Roman" w:hint="eastAsia"/>
          <w:sz w:val="32"/>
          <w:szCs w:val="32"/>
        </w:rPr>
        <w:t>政策综合示范城市建设，推动 “绿色水乡”节能减</w:t>
      </w:r>
      <w:proofErr w:type="gramStart"/>
      <w:r w:rsidRPr="00C03D32">
        <w:rPr>
          <w:rFonts w:ascii="仿宋_GB2312" w:eastAsia="仿宋_GB2312" w:hAnsi="Calibri" w:cs="Times New Roman" w:hint="eastAsia"/>
          <w:sz w:val="32"/>
          <w:szCs w:val="32"/>
        </w:rPr>
        <w:t>排综合</w:t>
      </w:r>
      <w:proofErr w:type="gramEnd"/>
      <w:r w:rsidRPr="00C03D32">
        <w:rPr>
          <w:rFonts w:ascii="仿宋_GB2312" w:eastAsia="仿宋_GB2312" w:hAnsi="Calibri" w:cs="Times New Roman" w:hint="eastAsia"/>
          <w:sz w:val="32"/>
          <w:szCs w:val="32"/>
        </w:rPr>
        <w:t>示范区等4项典型示范项目启动建设，节能减排指标完成情况位居全省前列。</w:t>
      </w:r>
    </w:p>
    <w:p w:rsidR="00C03D32" w:rsidRPr="00C03D32" w:rsidRDefault="00C03D32" w:rsidP="00C03D32">
      <w:pPr>
        <w:spacing w:line="600" w:lineRule="exact"/>
        <w:ind w:firstLineChars="200" w:firstLine="643"/>
        <w:rPr>
          <w:rFonts w:ascii="仿宋_GB2312" w:eastAsia="仿宋_GB2312" w:hAnsi="Calibri" w:cs="Times New Roman"/>
          <w:sz w:val="32"/>
          <w:szCs w:val="32"/>
        </w:rPr>
      </w:pPr>
      <w:r w:rsidRPr="00C03D32">
        <w:rPr>
          <w:rFonts w:ascii="仿宋_GB2312" w:eastAsia="仿宋_GB2312" w:hAnsi="Calibri" w:cs="Times New Roman" w:hint="eastAsia"/>
          <w:b/>
          <w:sz w:val="32"/>
          <w:szCs w:val="32"/>
        </w:rPr>
        <w:t>努力加强自身建设，财政服务管理水平不断提升。</w:t>
      </w:r>
      <w:r w:rsidRPr="00C03D32">
        <w:rPr>
          <w:rFonts w:ascii="仿宋_GB2312" w:eastAsia="仿宋_GB2312" w:hAnsi="Calibri" w:cs="Times New Roman" w:hint="eastAsia"/>
          <w:sz w:val="32"/>
          <w:szCs w:val="32"/>
        </w:rPr>
        <w:t>完善干部选拔任用及轮岗管理工作，组织开展中层干部竞争上岗，</w:t>
      </w:r>
      <w:r w:rsidRPr="00C03D32">
        <w:rPr>
          <w:rFonts w:ascii="仿宋_GB2312" w:eastAsia="仿宋_GB2312" w:hAnsi="Calibri" w:cs="Times New Roman" w:hint="eastAsia"/>
          <w:sz w:val="32"/>
          <w:szCs w:val="32"/>
        </w:rPr>
        <w:lastRenderedPageBreak/>
        <w:t>夯实了财政队伍中坚力量。积极开展财政培训讲座，重点传授新预算法以及深化财税体制改革的最新知识，有力提升了干部职工的业务能力和综合素质。出台了工作人员慰问制度，开展丰富多彩的文体活动和志愿服务活动，进一步加强对干部职工的人文关怀，增强了财政队伍的凝聚力。出台了财务管理、公务接待以及资产管理办法，公务接待实行“约法三章”，内部管理进一步规范，内控机制建设进一步增强严格落实廉洁从政各项规定和廉政责任制，建立完善廉政风险防控体系，切实做到了业务工作和反腐倡廉建设“两手抓、两手硬”。</w:t>
      </w:r>
    </w:p>
    <w:p w:rsidR="00EC5961" w:rsidRPr="00462DB7" w:rsidRDefault="00C03D32" w:rsidP="00C03D32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C03D32">
        <w:rPr>
          <w:rFonts w:ascii="仿宋_GB2312" w:eastAsia="仿宋_GB2312" w:hAnsi="Calibri" w:cs="Times New Roman" w:hint="eastAsia"/>
          <w:b/>
          <w:sz w:val="32"/>
          <w:szCs w:val="32"/>
        </w:rPr>
        <w:t>着力扫除“四风”问题，作风建设水平不断提升。</w:t>
      </w:r>
      <w:r w:rsidRPr="00C03D32">
        <w:rPr>
          <w:rFonts w:ascii="仿宋_GB2312" w:eastAsia="仿宋_GB2312" w:hAnsi="Calibri" w:cs="Times New Roman" w:hint="eastAsia"/>
          <w:sz w:val="32"/>
          <w:szCs w:val="32"/>
        </w:rPr>
        <w:t>圆满完成群众路线教育实践活动学习教育、听取意见，查摆问题、开展批评，整改落实、建章立制的各项工作。切实解决了一批关系群众切身利益的问题，如加快了财政资金拨款速度，缩短税收分成拨款周期，缓解镇街的资金困难；实现了交通违章罚款网上缴纳，方便群众办事；优化了企业退税程序，提高企业退税效率等。建立完善了会议费、差旅费、外宾接待费、因公临时出国经费等31项制度办法，牵头开展整治“三公”经费开支过大、严格公务接待标准等专项活动，推进办公用房清理整改工作。</w:t>
      </w:r>
      <w:r w:rsidR="00625CB4" w:rsidRPr="00462DB7">
        <w:rPr>
          <w:rFonts w:ascii="仿宋_GB2312" w:eastAsia="仿宋_GB2312"/>
          <w:sz w:val="32"/>
          <w:szCs w:val="32"/>
        </w:rPr>
        <w:t xml:space="preserve"> </w:t>
      </w:r>
    </w:p>
    <w:p w:rsidR="0063304A" w:rsidRPr="00CC1965" w:rsidRDefault="0063304A" w:rsidP="0063304A">
      <w:pPr>
        <w:spacing w:line="600" w:lineRule="exact"/>
        <w:ind w:firstLineChars="200" w:firstLine="640"/>
        <w:rPr>
          <w:rFonts w:ascii="Times New Roman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五</w:t>
      </w:r>
      <w:r w:rsidRPr="00CC1965">
        <w:rPr>
          <w:rFonts w:ascii="Times New Roman" w:eastAsia="黑体" w:hAnsi="Times New Roman"/>
          <w:sz w:val="32"/>
          <w:szCs w:val="32"/>
        </w:rPr>
        <w:t>、决算年度收支决算说明</w:t>
      </w:r>
    </w:p>
    <w:p w:rsidR="003E1F0B" w:rsidRPr="003E1F0B" w:rsidRDefault="003E1F0B" w:rsidP="003E1F0B">
      <w:pPr>
        <w:spacing w:line="600" w:lineRule="exact"/>
        <w:ind w:firstLineChars="196" w:firstLine="627"/>
        <w:rPr>
          <w:rFonts w:ascii="仿宋_GB2312" w:eastAsia="仿宋_GB2312" w:hAnsi="Times New Roman"/>
          <w:sz w:val="32"/>
          <w:szCs w:val="32"/>
        </w:rPr>
      </w:pPr>
      <w:r w:rsidRPr="003E1F0B">
        <w:rPr>
          <w:rFonts w:ascii="仿宋_GB2312" w:eastAsia="仿宋_GB2312" w:hAnsi="Times New Roman" w:hint="eastAsia"/>
          <w:sz w:val="32"/>
          <w:szCs w:val="32"/>
        </w:rPr>
        <w:t>2014年部门决算总收入</w:t>
      </w:r>
      <w:r w:rsidRPr="003E1F0B">
        <w:rPr>
          <w:rFonts w:ascii="仿宋_GB2312" w:eastAsia="仿宋_GB2312" w:hAnsi="Times New Roman" w:cs="Times New Roman" w:hint="eastAsia"/>
          <w:sz w:val="32"/>
          <w:szCs w:val="32"/>
        </w:rPr>
        <w:t>4315.68</w:t>
      </w:r>
      <w:r w:rsidRPr="003E1F0B">
        <w:rPr>
          <w:rFonts w:ascii="仿宋_GB2312" w:eastAsia="仿宋_GB2312" w:hAnsi="Times New Roman" w:hint="eastAsia"/>
          <w:sz w:val="32"/>
          <w:szCs w:val="32"/>
        </w:rPr>
        <w:t>万元，其中：财政拨款</w:t>
      </w:r>
      <w:r w:rsidRPr="003E1F0B">
        <w:rPr>
          <w:rFonts w:ascii="仿宋_GB2312" w:eastAsia="仿宋_GB2312" w:hAnsi="Times New Roman" w:hint="eastAsia"/>
          <w:sz w:val="32"/>
          <w:szCs w:val="32"/>
        </w:rPr>
        <w:lastRenderedPageBreak/>
        <w:t>收入</w:t>
      </w:r>
      <w:r w:rsidRPr="003E1F0B">
        <w:rPr>
          <w:rFonts w:ascii="仿宋_GB2312" w:eastAsia="仿宋_GB2312" w:hAnsi="Times New Roman" w:cs="Times New Roman" w:hint="eastAsia"/>
          <w:sz w:val="32"/>
          <w:szCs w:val="32"/>
        </w:rPr>
        <w:t>4315.49</w:t>
      </w:r>
      <w:r w:rsidRPr="003E1F0B">
        <w:rPr>
          <w:rFonts w:ascii="仿宋_GB2312" w:eastAsia="仿宋_GB2312" w:hAnsi="Times New Roman" w:hint="eastAsia"/>
          <w:sz w:val="32"/>
          <w:szCs w:val="32"/>
        </w:rPr>
        <w:t>万元，占总收入的</w:t>
      </w:r>
      <w:r w:rsidRPr="003E1F0B">
        <w:rPr>
          <w:rFonts w:ascii="仿宋_GB2312" w:eastAsia="仿宋_GB2312" w:hAnsi="Times New Roman" w:cs="Times New Roman" w:hint="eastAsia"/>
          <w:sz w:val="32"/>
          <w:szCs w:val="32"/>
        </w:rPr>
        <w:t>99.99</w:t>
      </w:r>
      <w:r w:rsidRPr="003E1F0B">
        <w:rPr>
          <w:rFonts w:ascii="仿宋_GB2312" w:eastAsia="仿宋_GB2312" w:hAnsi="Times New Roman" w:hint="eastAsia"/>
          <w:sz w:val="32"/>
          <w:szCs w:val="32"/>
        </w:rPr>
        <w:t>%；其他收入</w:t>
      </w:r>
      <w:r w:rsidRPr="003E1F0B">
        <w:rPr>
          <w:rFonts w:ascii="仿宋_GB2312" w:eastAsia="仿宋_GB2312" w:hAnsi="Times New Roman" w:cs="Times New Roman" w:hint="eastAsia"/>
          <w:sz w:val="32"/>
          <w:szCs w:val="32"/>
        </w:rPr>
        <w:t>0.19</w:t>
      </w:r>
      <w:r w:rsidRPr="003E1F0B">
        <w:rPr>
          <w:rFonts w:ascii="仿宋_GB2312" w:eastAsia="仿宋_GB2312" w:hAnsi="Times New Roman" w:hint="eastAsia"/>
          <w:sz w:val="32"/>
          <w:szCs w:val="32"/>
        </w:rPr>
        <w:t>万元，占总收入0.01%。上年结转和结余</w:t>
      </w:r>
      <w:r w:rsidRPr="003E1F0B">
        <w:rPr>
          <w:rFonts w:ascii="仿宋_GB2312" w:eastAsia="仿宋_GB2312" w:hAnsi="Times New Roman" w:cs="Times New Roman" w:hint="eastAsia"/>
          <w:sz w:val="32"/>
          <w:szCs w:val="32"/>
        </w:rPr>
        <w:t>1582.3</w:t>
      </w:r>
      <w:r w:rsidR="00357591">
        <w:rPr>
          <w:rFonts w:ascii="仿宋_GB2312" w:eastAsia="仿宋_GB2312" w:hAnsi="Times New Roman" w:cs="Times New Roman" w:hint="eastAsia"/>
          <w:sz w:val="32"/>
          <w:szCs w:val="32"/>
        </w:rPr>
        <w:t>4</w:t>
      </w:r>
      <w:r w:rsidRPr="003E1F0B">
        <w:rPr>
          <w:rFonts w:ascii="仿宋_GB2312" w:eastAsia="仿宋_GB2312" w:hAnsi="Times New Roman" w:hint="eastAsia"/>
          <w:sz w:val="32"/>
          <w:szCs w:val="32"/>
        </w:rPr>
        <w:t>万元。</w:t>
      </w:r>
    </w:p>
    <w:p w:rsidR="0063304A" w:rsidRPr="00036E64" w:rsidRDefault="0063304A" w:rsidP="00036E64">
      <w:pPr>
        <w:spacing w:line="600" w:lineRule="exact"/>
        <w:ind w:firstLineChars="196" w:firstLine="627"/>
        <w:rPr>
          <w:rFonts w:ascii="仿宋_GB2312" w:eastAsia="仿宋_GB2312" w:hAnsi="Times New Roman"/>
          <w:sz w:val="32"/>
          <w:szCs w:val="32"/>
        </w:rPr>
      </w:pPr>
      <w:r w:rsidRPr="00036E64">
        <w:rPr>
          <w:rFonts w:ascii="仿宋_GB2312" w:eastAsia="仿宋_GB2312" w:hAnsi="Times New Roman" w:hint="eastAsia"/>
          <w:sz w:val="32"/>
          <w:szCs w:val="32"/>
        </w:rPr>
        <w:t>2014年部门决算总支出</w:t>
      </w:r>
      <w:r w:rsidR="003E1F0B">
        <w:rPr>
          <w:rFonts w:ascii="仿宋_GB2312" w:eastAsia="仿宋_GB2312" w:hAnsi="Times New Roman" w:cs="Times New Roman" w:hint="eastAsia"/>
          <w:sz w:val="32"/>
          <w:szCs w:val="32"/>
        </w:rPr>
        <w:t>5481.46</w:t>
      </w:r>
      <w:r w:rsidRPr="00036E64">
        <w:rPr>
          <w:rFonts w:ascii="仿宋_GB2312" w:eastAsia="仿宋_GB2312" w:hAnsi="Times New Roman" w:hint="eastAsia"/>
          <w:sz w:val="32"/>
          <w:szCs w:val="32"/>
        </w:rPr>
        <w:t>万元，其中基本支出</w:t>
      </w:r>
      <w:r w:rsidR="003E1F0B">
        <w:rPr>
          <w:rFonts w:ascii="仿宋_GB2312" w:eastAsia="仿宋_GB2312" w:hAnsi="Times New Roman" w:cs="Times New Roman" w:hint="eastAsia"/>
          <w:sz w:val="32"/>
          <w:szCs w:val="32"/>
        </w:rPr>
        <w:t>2841.81</w:t>
      </w:r>
      <w:r w:rsidRPr="00036E64">
        <w:rPr>
          <w:rFonts w:ascii="仿宋_GB2312" w:eastAsia="仿宋_GB2312" w:hAnsi="Times New Roman" w:hint="eastAsia"/>
          <w:sz w:val="32"/>
          <w:szCs w:val="32"/>
        </w:rPr>
        <w:t>万元，项目支出</w:t>
      </w:r>
      <w:r w:rsidR="003E1F0B">
        <w:rPr>
          <w:rFonts w:ascii="仿宋_GB2312" w:eastAsia="仿宋_GB2312" w:hAnsi="Times New Roman" w:cs="Times New Roman" w:hint="eastAsia"/>
          <w:sz w:val="32"/>
          <w:szCs w:val="32"/>
        </w:rPr>
        <w:t>2639.65</w:t>
      </w:r>
      <w:r w:rsidRPr="00036E64">
        <w:rPr>
          <w:rFonts w:ascii="仿宋_GB2312" w:eastAsia="仿宋_GB2312" w:hAnsi="Times New Roman" w:hint="eastAsia"/>
          <w:sz w:val="32"/>
          <w:szCs w:val="32"/>
        </w:rPr>
        <w:t>万元。本年结转和结余</w:t>
      </w:r>
      <w:r w:rsidR="003E1F0B">
        <w:rPr>
          <w:rFonts w:ascii="仿宋_GB2312" w:eastAsia="仿宋_GB2312" w:hAnsi="Times New Roman" w:cs="Times New Roman" w:hint="eastAsia"/>
          <w:sz w:val="32"/>
          <w:szCs w:val="32"/>
        </w:rPr>
        <w:t>416.56</w:t>
      </w:r>
      <w:r w:rsidRPr="00036E64">
        <w:rPr>
          <w:rFonts w:ascii="仿宋_GB2312" w:eastAsia="仿宋_GB2312" w:hAnsi="Times New Roman" w:hint="eastAsia"/>
          <w:sz w:val="32"/>
          <w:szCs w:val="32"/>
        </w:rPr>
        <w:t>万元。</w:t>
      </w:r>
    </w:p>
    <w:p w:rsidR="0063304A" w:rsidRPr="00036E64" w:rsidRDefault="0063304A" w:rsidP="00036E64">
      <w:pPr>
        <w:spacing w:line="600" w:lineRule="exact"/>
        <w:ind w:firstLineChars="196" w:firstLine="627"/>
        <w:rPr>
          <w:rFonts w:ascii="仿宋_GB2312" w:eastAsia="仿宋_GB2312" w:hAnsi="Times New Roman"/>
          <w:sz w:val="32"/>
          <w:szCs w:val="32"/>
        </w:rPr>
      </w:pPr>
      <w:r w:rsidRPr="00036E64">
        <w:rPr>
          <w:rFonts w:ascii="仿宋_GB2312" w:eastAsia="仿宋_GB2312" w:hAnsi="Times New Roman" w:hint="eastAsia"/>
          <w:sz w:val="32"/>
          <w:szCs w:val="32"/>
        </w:rPr>
        <w:t>各项收支决算数据详见2014年部门决算表。</w:t>
      </w:r>
    </w:p>
    <w:p w:rsidR="0063304A" w:rsidRPr="0063304A" w:rsidRDefault="0063304A" w:rsidP="0063304A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63304A">
        <w:rPr>
          <w:rFonts w:ascii="Times New Roman" w:eastAsia="黑体" w:hAnsi="Times New Roman" w:hint="eastAsia"/>
          <w:sz w:val="32"/>
          <w:szCs w:val="32"/>
        </w:rPr>
        <w:t>六、“三公”经费支出说明</w:t>
      </w:r>
    </w:p>
    <w:p w:rsidR="001E3238" w:rsidRPr="001E3238" w:rsidRDefault="001E3238" w:rsidP="001E3238">
      <w:pPr>
        <w:spacing w:line="600" w:lineRule="exact"/>
        <w:ind w:firstLineChars="196" w:firstLine="627"/>
        <w:rPr>
          <w:rFonts w:ascii="仿宋_GB2312" w:eastAsia="仿宋_GB2312" w:hAnsi="Times New Roman"/>
          <w:sz w:val="32"/>
          <w:szCs w:val="32"/>
        </w:rPr>
      </w:pPr>
      <w:r w:rsidRPr="001E3238">
        <w:rPr>
          <w:rFonts w:ascii="仿宋_GB2312" w:eastAsia="仿宋_GB2312" w:hAnsi="Times New Roman" w:hint="eastAsia"/>
          <w:sz w:val="32"/>
          <w:szCs w:val="32"/>
        </w:rPr>
        <w:t>2014年，本单位“三公经费”支出合计</w:t>
      </w:r>
      <w:r w:rsidRPr="001E3238">
        <w:rPr>
          <w:rFonts w:ascii="仿宋_GB2312" w:eastAsia="仿宋_GB2312" w:hAnsi="Times New Roman" w:cs="Times New Roman" w:hint="eastAsia"/>
          <w:sz w:val="32"/>
          <w:szCs w:val="32"/>
        </w:rPr>
        <w:t>25.12</w:t>
      </w:r>
      <w:r w:rsidRPr="001E3238">
        <w:rPr>
          <w:rFonts w:ascii="仿宋_GB2312" w:eastAsia="仿宋_GB2312" w:hAnsi="Times New Roman" w:hint="eastAsia"/>
          <w:sz w:val="32"/>
          <w:szCs w:val="32"/>
        </w:rPr>
        <w:t>万元，其中：</w:t>
      </w:r>
    </w:p>
    <w:p w:rsidR="001E3238" w:rsidRPr="001E3238" w:rsidRDefault="001E3238" w:rsidP="001E3238">
      <w:pPr>
        <w:spacing w:line="600" w:lineRule="exact"/>
        <w:ind w:firstLineChars="196" w:firstLine="627"/>
        <w:rPr>
          <w:rFonts w:ascii="仿宋_GB2312" w:eastAsia="仿宋_GB2312" w:hAnsi="Times New Roman"/>
          <w:sz w:val="32"/>
          <w:szCs w:val="32"/>
        </w:rPr>
      </w:pPr>
      <w:r w:rsidRPr="001E3238">
        <w:rPr>
          <w:rFonts w:ascii="仿宋_GB2312" w:eastAsia="仿宋_GB2312" w:hAnsi="Times New Roman" w:hint="eastAsia"/>
          <w:sz w:val="32"/>
          <w:szCs w:val="32"/>
        </w:rPr>
        <w:t>（一）因公出国（境）费用支出</w:t>
      </w:r>
      <w:r>
        <w:rPr>
          <w:rFonts w:ascii="仿宋_GB2312" w:eastAsia="仿宋_GB2312" w:hAnsi="Times New Roman" w:cs="Times New Roman" w:hint="eastAsia"/>
          <w:sz w:val="32"/>
          <w:szCs w:val="32"/>
        </w:rPr>
        <w:t>1.53</w:t>
      </w:r>
      <w:r w:rsidRPr="001E3238">
        <w:rPr>
          <w:rFonts w:ascii="仿宋_GB2312" w:eastAsia="仿宋_GB2312" w:hAnsi="Times New Roman" w:hint="eastAsia"/>
          <w:sz w:val="32"/>
          <w:szCs w:val="32"/>
        </w:rPr>
        <w:t>万元，全年出国（境）</w:t>
      </w:r>
      <w:r w:rsidR="00357591">
        <w:rPr>
          <w:rFonts w:ascii="仿宋_GB2312" w:eastAsia="仿宋_GB2312" w:hAnsi="Times New Roman" w:hint="eastAsia"/>
          <w:sz w:val="32"/>
          <w:szCs w:val="32"/>
        </w:rPr>
        <w:t>参</w:t>
      </w:r>
      <w:r w:rsidRPr="001E3238">
        <w:rPr>
          <w:rFonts w:ascii="仿宋_GB2312" w:eastAsia="仿宋_GB2312" w:hAnsi="Times New Roman" w:hint="eastAsia"/>
          <w:sz w:val="32"/>
          <w:szCs w:val="32"/>
        </w:rPr>
        <w:t>团</w:t>
      </w:r>
      <w:r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Pr="001E3238">
        <w:rPr>
          <w:rFonts w:ascii="仿宋_GB2312" w:eastAsia="仿宋_GB2312" w:hAnsi="Times New Roman" w:hint="eastAsia"/>
          <w:sz w:val="32"/>
          <w:szCs w:val="32"/>
        </w:rPr>
        <w:t>个、</w:t>
      </w:r>
      <w:r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Pr="001E3238">
        <w:rPr>
          <w:rFonts w:ascii="仿宋_GB2312" w:eastAsia="仿宋_GB2312" w:hAnsi="Times New Roman" w:hint="eastAsia"/>
          <w:sz w:val="32"/>
          <w:szCs w:val="32"/>
        </w:rPr>
        <w:t>人次，比2014年预算增加</w:t>
      </w:r>
      <w:r>
        <w:rPr>
          <w:rFonts w:ascii="仿宋_GB2312" w:eastAsia="仿宋_GB2312" w:hAnsi="Times New Roman" w:hint="eastAsia"/>
          <w:sz w:val="32"/>
          <w:szCs w:val="32"/>
        </w:rPr>
        <w:t>1.53</w:t>
      </w:r>
      <w:r w:rsidRPr="001E3238">
        <w:rPr>
          <w:rFonts w:ascii="仿宋_GB2312" w:eastAsia="仿宋_GB2312" w:hAnsi="Times New Roman" w:hint="eastAsia"/>
          <w:sz w:val="32"/>
          <w:szCs w:val="32"/>
        </w:rPr>
        <w:t>万元，增加</w:t>
      </w:r>
      <w:r>
        <w:rPr>
          <w:rFonts w:ascii="仿宋_GB2312" w:eastAsia="仿宋_GB2312" w:hAnsi="Times New Roman" w:hint="eastAsia"/>
          <w:sz w:val="32"/>
          <w:szCs w:val="32"/>
        </w:rPr>
        <w:t>100</w:t>
      </w:r>
      <w:r w:rsidRPr="001E3238">
        <w:rPr>
          <w:rFonts w:ascii="仿宋_GB2312" w:eastAsia="仿宋_GB2312" w:hAnsi="Times New Roman" w:hint="eastAsia"/>
          <w:sz w:val="32"/>
          <w:szCs w:val="32"/>
        </w:rPr>
        <w:t>%。开支内容</w:t>
      </w:r>
      <w:r>
        <w:rPr>
          <w:rFonts w:ascii="仿宋_GB2312" w:eastAsia="仿宋_GB2312" w:hAnsi="Times New Roman" w:hint="eastAsia"/>
          <w:sz w:val="32"/>
          <w:szCs w:val="32"/>
        </w:rPr>
        <w:t>为</w:t>
      </w:r>
      <w:r w:rsidRPr="001E3238">
        <w:rPr>
          <w:rFonts w:ascii="仿宋_GB2312" w:eastAsia="仿宋_GB2312" w:hAnsi="Times New Roman" w:hint="eastAsia"/>
          <w:sz w:val="32"/>
          <w:szCs w:val="32"/>
        </w:rPr>
        <w:t>： 赴</w:t>
      </w:r>
      <w:r>
        <w:rPr>
          <w:rFonts w:ascii="仿宋_GB2312" w:eastAsia="仿宋_GB2312" w:hAnsi="Times New Roman" w:cs="Times New Roman" w:hint="eastAsia"/>
          <w:sz w:val="32"/>
          <w:szCs w:val="32"/>
        </w:rPr>
        <w:t>日本</w:t>
      </w:r>
      <w:r w:rsidRPr="001E3238">
        <w:rPr>
          <w:rFonts w:ascii="仿宋_GB2312" w:eastAsia="仿宋_GB2312" w:hAnsi="Times New Roman" w:hint="eastAsia"/>
          <w:sz w:val="32"/>
          <w:szCs w:val="32"/>
        </w:rPr>
        <w:t>参加</w:t>
      </w:r>
      <w:r>
        <w:rPr>
          <w:rFonts w:ascii="仿宋_GB2312" w:eastAsia="仿宋_GB2312" w:hAnsi="Times New Roman" w:cs="Times New Roman" w:hint="eastAsia"/>
          <w:sz w:val="32"/>
          <w:szCs w:val="32"/>
        </w:rPr>
        <w:t>东芝项目考察</w:t>
      </w:r>
      <w:r w:rsidRPr="001E3238">
        <w:rPr>
          <w:rFonts w:ascii="仿宋_GB2312" w:eastAsia="仿宋_GB2312" w:hAnsi="Times New Roman" w:hint="eastAsia"/>
          <w:sz w:val="32"/>
          <w:szCs w:val="32"/>
        </w:rPr>
        <w:t>，合计支出</w:t>
      </w:r>
      <w:r>
        <w:rPr>
          <w:rFonts w:ascii="仿宋_GB2312" w:eastAsia="仿宋_GB2312" w:hAnsi="Times New Roman" w:cs="Times New Roman" w:hint="eastAsia"/>
          <w:sz w:val="32"/>
          <w:szCs w:val="32"/>
        </w:rPr>
        <w:t>1.53</w:t>
      </w:r>
      <w:r w:rsidRPr="001E3238">
        <w:rPr>
          <w:rFonts w:ascii="仿宋_GB2312" w:eastAsia="仿宋_GB2312" w:hAnsi="Times New Roman" w:hint="eastAsia"/>
          <w:sz w:val="32"/>
          <w:szCs w:val="32"/>
        </w:rPr>
        <w:t>万元。</w:t>
      </w:r>
    </w:p>
    <w:p w:rsidR="001E3238" w:rsidRPr="001E3238" w:rsidRDefault="001E3238" w:rsidP="001E323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E3238">
        <w:rPr>
          <w:rFonts w:ascii="仿宋_GB2312" w:eastAsia="仿宋_GB2312" w:hint="eastAsia"/>
          <w:sz w:val="32"/>
          <w:szCs w:val="32"/>
        </w:rPr>
        <w:t>（二）公车购置费支出</w:t>
      </w:r>
      <w:r>
        <w:rPr>
          <w:rFonts w:ascii="仿宋_GB2312" w:eastAsia="仿宋_GB2312" w:hAnsi="Times New Roman" w:cs="Times New Roman" w:hint="eastAsia"/>
          <w:sz w:val="32"/>
          <w:szCs w:val="32"/>
        </w:rPr>
        <w:t>0</w:t>
      </w:r>
      <w:r w:rsidRPr="001E3238">
        <w:rPr>
          <w:rFonts w:ascii="仿宋_GB2312" w:eastAsia="仿宋_GB2312" w:hint="eastAsia"/>
          <w:sz w:val="32"/>
          <w:szCs w:val="32"/>
        </w:rPr>
        <w:t>万元</w:t>
      </w:r>
      <w:r w:rsidRPr="001E3238">
        <w:rPr>
          <w:rFonts w:ascii="仿宋_GB2312" w:eastAsia="仿宋_GB2312" w:hAnsi="Times New Roman" w:hint="eastAsia"/>
          <w:sz w:val="32"/>
          <w:szCs w:val="32"/>
        </w:rPr>
        <w:t>。</w:t>
      </w:r>
    </w:p>
    <w:p w:rsidR="001E3238" w:rsidRPr="001E3238" w:rsidRDefault="001E3238" w:rsidP="001E323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E3238">
        <w:rPr>
          <w:rFonts w:ascii="仿宋_GB2312" w:eastAsia="仿宋_GB2312" w:hint="eastAsia"/>
          <w:sz w:val="32"/>
          <w:szCs w:val="32"/>
        </w:rPr>
        <w:t>（三）公车运行维护费支出</w:t>
      </w:r>
      <w:r>
        <w:rPr>
          <w:rFonts w:ascii="仿宋_GB2312" w:eastAsia="仿宋_GB2312" w:hAnsi="Times New Roman" w:cs="Times New Roman" w:hint="eastAsia"/>
          <w:sz w:val="32"/>
          <w:szCs w:val="32"/>
        </w:rPr>
        <w:t>0</w:t>
      </w:r>
      <w:r w:rsidRPr="001E3238">
        <w:rPr>
          <w:rFonts w:ascii="仿宋_GB2312" w:eastAsia="仿宋_GB2312" w:hint="eastAsia"/>
          <w:sz w:val="32"/>
          <w:szCs w:val="32"/>
        </w:rPr>
        <w:t>万元</w:t>
      </w:r>
      <w:r w:rsidRPr="001E3238">
        <w:rPr>
          <w:rFonts w:ascii="仿宋_GB2312" w:eastAsia="仿宋_GB2312" w:hAnsi="Times New Roman" w:hint="eastAsia"/>
          <w:sz w:val="32"/>
          <w:szCs w:val="32"/>
        </w:rPr>
        <w:t>。</w:t>
      </w:r>
    </w:p>
    <w:p w:rsidR="001E3238" w:rsidRPr="001E3238" w:rsidRDefault="001E3238" w:rsidP="001E323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E3238">
        <w:rPr>
          <w:rFonts w:ascii="仿宋_GB2312" w:eastAsia="仿宋_GB2312" w:hint="eastAsia"/>
          <w:sz w:val="32"/>
          <w:szCs w:val="32"/>
        </w:rPr>
        <w:t>（四）公务接待费支出</w:t>
      </w:r>
      <w:r>
        <w:rPr>
          <w:rFonts w:ascii="仿宋_GB2312" w:eastAsia="仿宋_GB2312" w:hAnsi="Times New Roman" w:cs="Times New Roman" w:hint="eastAsia"/>
          <w:sz w:val="32"/>
          <w:szCs w:val="32"/>
        </w:rPr>
        <w:t>23.59</w:t>
      </w:r>
      <w:r w:rsidRPr="001E3238">
        <w:rPr>
          <w:rFonts w:ascii="仿宋_GB2312" w:eastAsia="仿宋_GB2312" w:hint="eastAsia"/>
          <w:sz w:val="32"/>
          <w:szCs w:val="32"/>
        </w:rPr>
        <w:t>万元，全年共接待</w:t>
      </w:r>
      <w:r>
        <w:rPr>
          <w:rFonts w:ascii="仿宋_GB2312" w:eastAsia="仿宋_GB2312" w:hAnsi="Times New Roman" w:cs="Times New Roman" w:hint="eastAsia"/>
          <w:sz w:val="32"/>
          <w:szCs w:val="32"/>
        </w:rPr>
        <w:t>60</w:t>
      </w:r>
      <w:r w:rsidRPr="001E3238">
        <w:rPr>
          <w:rFonts w:ascii="仿宋_GB2312" w:eastAsia="仿宋_GB2312" w:hint="eastAsia"/>
          <w:sz w:val="32"/>
          <w:szCs w:val="32"/>
        </w:rPr>
        <w:t>批次、</w:t>
      </w:r>
      <w:r>
        <w:rPr>
          <w:rFonts w:ascii="仿宋_GB2312" w:eastAsia="仿宋_GB2312" w:hAnsi="Times New Roman" w:cs="Times New Roman" w:hint="eastAsia"/>
          <w:sz w:val="32"/>
          <w:szCs w:val="32"/>
        </w:rPr>
        <w:t>565</w:t>
      </w:r>
      <w:r w:rsidRPr="001E3238">
        <w:rPr>
          <w:rFonts w:ascii="仿宋_GB2312" w:eastAsia="仿宋_GB2312" w:hint="eastAsia"/>
          <w:sz w:val="32"/>
          <w:szCs w:val="32"/>
        </w:rPr>
        <w:t>人次，</w:t>
      </w:r>
      <w:r w:rsidRPr="001E3238">
        <w:rPr>
          <w:rFonts w:ascii="仿宋_GB2312" w:eastAsia="仿宋_GB2312" w:hAnsi="Times New Roman" w:hint="eastAsia"/>
          <w:sz w:val="32"/>
          <w:szCs w:val="32"/>
        </w:rPr>
        <w:t>比2014年预算减少</w:t>
      </w:r>
      <w:r w:rsidR="001A727F">
        <w:rPr>
          <w:rFonts w:ascii="仿宋_GB2312" w:eastAsia="仿宋_GB2312" w:hAnsi="Times New Roman" w:hint="eastAsia"/>
          <w:sz w:val="32"/>
          <w:szCs w:val="32"/>
        </w:rPr>
        <w:t>69.41</w:t>
      </w:r>
      <w:r w:rsidRPr="001E3238">
        <w:rPr>
          <w:rFonts w:ascii="仿宋_GB2312" w:eastAsia="仿宋_GB2312" w:hAnsi="Times New Roman" w:hint="eastAsia"/>
          <w:sz w:val="32"/>
          <w:szCs w:val="32"/>
        </w:rPr>
        <w:t>万元，降低</w:t>
      </w:r>
      <w:r w:rsidR="001A727F">
        <w:rPr>
          <w:rFonts w:ascii="仿宋_GB2312" w:eastAsia="仿宋_GB2312" w:hAnsi="Times New Roman" w:cs="Times New Roman" w:hint="eastAsia"/>
          <w:sz w:val="32"/>
          <w:szCs w:val="32"/>
        </w:rPr>
        <w:t>74.63</w:t>
      </w:r>
      <w:r w:rsidRPr="001E3238">
        <w:rPr>
          <w:rFonts w:ascii="仿宋_GB2312" w:eastAsia="仿宋_GB2312" w:hAnsi="Times New Roman" w:hint="eastAsia"/>
          <w:sz w:val="32"/>
          <w:szCs w:val="32"/>
        </w:rPr>
        <w:t>%。</w:t>
      </w:r>
    </w:p>
    <w:p w:rsidR="00A87E78" w:rsidRPr="001E3238" w:rsidRDefault="00A87E78" w:rsidP="001E3238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A87E78" w:rsidRPr="001E3238" w:rsidRDefault="00A87E78" w:rsidP="001E3238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A87E78" w:rsidRPr="001A727F" w:rsidRDefault="00A87E78" w:rsidP="001E3238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A87E78" w:rsidRPr="001E3238" w:rsidRDefault="00A87E78" w:rsidP="001E3238">
      <w:pPr>
        <w:ind w:firstLineChars="200" w:firstLine="640"/>
        <w:rPr>
          <w:rFonts w:ascii="仿宋_GB2312" w:eastAsia="仿宋_GB2312"/>
          <w:sz w:val="32"/>
          <w:szCs w:val="32"/>
        </w:rPr>
      </w:pPr>
    </w:p>
    <w:sectPr w:rsidR="00A87E78" w:rsidRPr="001E3238" w:rsidSect="001D799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304" w:rsidRDefault="00767304" w:rsidP="00A87E78">
      <w:r>
        <w:separator/>
      </w:r>
    </w:p>
  </w:endnote>
  <w:endnote w:type="continuationSeparator" w:id="0">
    <w:p w:rsidR="00767304" w:rsidRDefault="00767304" w:rsidP="00A87E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0512462"/>
      <w:docPartObj>
        <w:docPartGallery w:val="Page Numbers (Bottom of Page)"/>
        <w:docPartUnique/>
      </w:docPartObj>
    </w:sdtPr>
    <w:sdtContent>
      <w:p w:rsidR="00A87E78" w:rsidRDefault="00FE0A8A">
        <w:pPr>
          <w:pStyle w:val="a4"/>
          <w:jc w:val="center"/>
        </w:pPr>
        <w:r>
          <w:fldChar w:fldCharType="begin"/>
        </w:r>
        <w:r w:rsidR="00A87E78">
          <w:instrText>PAGE   \* MERGEFORMAT</w:instrText>
        </w:r>
        <w:r>
          <w:fldChar w:fldCharType="separate"/>
        </w:r>
        <w:r w:rsidR="00067440" w:rsidRPr="00067440">
          <w:rPr>
            <w:noProof/>
            <w:lang w:val="zh-CN"/>
          </w:rPr>
          <w:t>5</w:t>
        </w:r>
        <w:r>
          <w:fldChar w:fldCharType="end"/>
        </w:r>
      </w:p>
    </w:sdtContent>
  </w:sdt>
  <w:p w:rsidR="00A87E78" w:rsidRDefault="00A87E7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304" w:rsidRDefault="00767304" w:rsidP="00A87E78">
      <w:r>
        <w:separator/>
      </w:r>
    </w:p>
  </w:footnote>
  <w:footnote w:type="continuationSeparator" w:id="0">
    <w:p w:rsidR="00767304" w:rsidRDefault="00767304" w:rsidP="00A87E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5961"/>
    <w:rsid w:val="00036E64"/>
    <w:rsid w:val="00067440"/>
    <w:rsid w:val="00087AD6"/>
    <w:rsid w:val="00134631"/>
    <w:rsid w:val="001519AD"/>
    <w:rsid w:val="00180F1F"/>
    <w:rsid w:val="001A727F"/>
    <w:rsid w:val="001D7991"/>
    <w:rsid w:val="001E3238"/>
    <w:rsid w:val="00203959"/>
    <w:rsid w:val="00203FBC"/>
    <w:rsid w:val="00216625"/>
    <w:rsid w:val="002300D7"/>
    <w:rsid w:val="00264B75"/>
    <w:rsid w:val="002B5CF3"/>
    <w:rsid w:val="002B7E75"/>
    <w:rsid w:val="002E7906"/>
    <w:rsid w:val="002F04EF"/>
    <w:rsid w:val="002F3392"/>
    <w:rsid w:val="00326CB1"/>
    <w:rsid w:val="003402E4"/>
    <w:rsid w:val="00347B34"/>
    <w:rsid w:val="00357591"/>
    <w:rsid w:val="0036252A"/>
    <w:rsid w:val="003809AC"/>
    <w:rsid w:val="00381456"/>
    <w:rsid w:val="003E1F0B"/>
    <w:rsid w:val="003F43DF"/>
    <w:rsid w:val="0041378F"/>
    <w:rsid w:val="00440E87"/>
    <w:rsid w:val="00451C48"/>
    <w:rsid w:val="00462DB7"/>
    <w:rsid w:val="00470393"/>
    <w:rsid w:val="004A2B86"/>
    <w:rsid w:val="004A6077"/>
    <w:rsid w:val="004E37FD"/>
    <w:rsid w:val="004E6024"/>
    <w:rsid w:val="004F77BB"/>
    <w:rsid w:val="005148AF"/>
    <w:rsid w:val="00521DC7"/>
    <w:rsid w:val="00550794"/>
    <w:rsid w:val="00592CE7"/>
    <w:rsid w:val="005B42E5"/>
    <w:rsid w:val="005F1CEA"/>
    <w:rsid w:val="00625CB4"/>
    <w:rsid w:val="0063304A"/>
    <w:rsid w:val="00647005"/>
    <w:rsid w:val="00671B7E"/>
    <w:rsid w:val="00681FB1"/>
    <w:rsid w:val="006B03BF"/>
    <w:rsid w:val="00702D73"/>
    <w:rsid w:val="00712D1F"/>
    <w:rsid w:val="00744C8D"/>
    <w:rsid w:val="00767304"/>
    <w:rsid w:val="007822D5"/>
    <w:rsid w:val="00793675"/>
    <w:rsid w:val="007937E4"/>
    <w:rsid w:val="008206E1"/>
    <w:rsid w:val="008408EC"/>
    <w:rsid w:val="00883E5C"/>
    <w:rsid w:val="008903A2"/>
    <w:rsid w:val="008B4575"/>
    <w:rsid w:val="008D1C3E"/>
    <w:rsid w:val="00902728"/>
    <w:rsid w:val="00915EA7"/>
    <w:rsid w:val="009A1C21"/>
    <w:rsid w:val="009B5280"/>
    <w:rsid w:val="009C339A"/>
    <w:rsid w:val="00A43237"/>
    <w:rsid w:val="00A7207A"/>
    <w:rsid w:val="00A87E78"/>
    <w:rsid w:val="00B071F5"/>
    <w:rsid w:val="00B113F5"/>
    <w:rsid w:val="00B15430"/>
    <w:rsid w:val="00B329A5"/>
    <w:rsid w:val="00B73A19"/>
    <w:rsid w:val="00C03D32"/>
    <w:rsid w:val="00C356E2"/>
    <w:rsid w:val="00C57F59"/>
    <w:rsid w:val="00C62410"/>
    <w:rsid w:val="00CB4863"/>
    <w:rsid w:val="00D25B82"/>
    <w:rsid w:val="00DA7C17"/>
    <w:rsid w:val="00DB55CE"/>
    <w:rsid w:val="00DF52EA"/>
    <w:rsid w:val="00E13867"/>
    <w:rsid w:val="00E36EDD"/>
    <w:rsid w:val="00E60A59"/>
    <w:rsid w:val="00E66D5E"/>
    <w:rsid w:val="00E77156"/>
    <w:rsid w:val="00E83E39"/>
    <w:rsid w:val="00EA131A"/>
    <w:rsid w:val="00EB2D63"/>
    <w:rsid w:val="00EC43FD"/>
    <w:rsid w:val="00EC5961"/>
    <w:rsid w:val="00F17844"/>
    <w:rsid w:val="00F22D1F"/>
    <w:rsid w:val="00F83552"/>
    <w:rsid w:val="00F92E21"/>
    <w:rsid w:val="00FA06F8"/>
    <w:rsid w:val="00FA74EE"/>
    <w:rsid w:val="00FE0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7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7E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7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7E78"/>
    <w:rPr>
      <w:sz w:val="18"/>
      <w:szCs w:val="18"/>
    </w:rPr>
  </w:style>
  <w:style w:type="paragraph" w:styleId="a5">
    <w:name w:val="Normal (Web)"/>
    <w:basedOn w:val="a"/>
    <w:rsid w:val="007936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7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7E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7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7E78"/>
    <w:rPr>
      <w:sz w:val="18"/>
      <w:szCs w:val="18"/>
    </w:rPr>
  </w:style>
  <w:style w:type="paragraph" w:styleId="a5">
    <w:name w:val="Normal (Web)"/>
    <w:basedOn w:val="a"/>
    <w:rsid w:val="007936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1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5</Pages>
  <Words>377</Words>
  <Characters>2150</Characters>
  <Application>Microsoft Office Word</Application>
  <DocSecurity>0</DocSecurity>
  <Lines>17</Lines>
  <Paragraphs>5</Paragraphs>
  <ScaleCrop>false</ScaleCrop>
  <Company>Microsoft</Company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殷炀榜</dc:creator>
  <cp:keywords/>
  <dc:description/>
  <cp:lastModifiedBy>黎少冰</cp:lastModifiedBy>
  <cp:revision>19</cp:revision>
  <cp:lastPrinted>2015-10-26T09:26:00Z</cp:lastPrinted>
  <dcterms:created xsi:type="dcterms:W3CDTF">2015-10-12T03:32:00Z</dcterms:created>
  <dcterms:modified xsi:type="dcterms:W3CDTF">2015-10-26T09:31:00Z</dcterms:modified>
</cp:coreProperties>
</file>