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社会各界反馈意见情况表</w:t>
      </w:r>
    </w:p>
    <w:tbl>
      <w:tblPr>
        <w:tblStyle w:val="6"/>
        <w:tblW w:w="13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632"/>
        <w:gridCol w:w="6015"/>
        <w:gridCol w:w="4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817" w:type="dxa"/>
            <w:vAlign w:val="center"/>
          </w:tcPr>
          <w:p>
            <w:pPr>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序号</w:t>
            </w:r>
          </w:p>
        </w:tc>
        <w:tc>
          <w:tcPr>
            <w:tcW w:w="2632" w:type="dxa"/>
            <w:vAlign w:val="center"/>
          </w:tcPr>
          <w:p>
            <w:pPr>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单位</w:t>
            </w:r>
          </w:p>
        </w:tc>
        <w:tc>
          <w:tcPr>
            <w:tcW w:w="6015" w:type="dxa"/>
            <w:vAlign w:val="center"/>
          </w:tcPr>
          <w:p>
            <w:pPr>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反馈意见情况</w:t>
            </w:r>
          </w:p>
        </w:tc>
        <w:tc>
          <w:tcPr>
            <w:tcW w:w="4528" w:type="dxa"/>
            <w:vAlign w:val="center"/>
          </w:tcPr>
          <w:p>
            <w:pPr>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采纳情况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2632"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广东华城工程咨询有限公司</w:t>
            </w: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eastAsia="仿宋_GB2312" w:cs="仿宋_GB2312"/>
                <w:sz w:val="24"/>
                <w:szCs w:val="24"/>
                <w:lang w:eastAsia="zh-CN"/>
              </w:rPr>
            </w:pPr>
            <w:r>
              <w:rPr>
                <w:rFonts w:hint="eastAsia" w:eastAsia="仿宋_GB2312" w:cs="仿宋_GB2312"/>
                <w:sz w:val="24"/>
                <w:szCs w:val="24"/>
              </w:rPr>
              <w:t>第二条：本办法所称市财政性资金投资基本建设项目是指使用市本级财政预算安排的资金（含全额或部分投资）并在东莞市行政区域内进行固定资产投资建设项目</w:t>
            </w:r>
            <w:r>
              <w:rPr>
                <w:rFonts w:hint="eastAsia"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Times New Roman"/>
                <w:sz w:val="24"/>
                <w:szCs w:val="24"/>
              </w:rPr>
            </w:pPr>
            <w:r>
              <w:rPr>
                <w:rFonts w:hint="eastAsia" w:eastAsia="仿宋_GB2312" w:cs="仿宋_GB2312"/>
                <w:sz w:val="24"/>
                <w:szCs w:val="24"/>
              </w:rPr>
              <w:t>疑问：使用市财政资金但在东莞区域外进行建设项目是否适用?</w:t>
            </w:r>
          </w:p>
        </w:tc>
        <w:tc>
          <w:tcPr>
            <w:tcW w:w="4528" w:type="dxa"/>
            <w:vAlign w:val="center"/>
          </w:tcPr>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回答：工程项目是按行政区域进行管理的，办法只适用</w:t>
            </w:r>
            <w:r>
              <w:rPr>
                <w:rFonts w:hint="eastAsia" w:eastAsia="仿宋_GB2312" w:cs="仿宋_GB2312"/>
                <w:sz w:val="24"/>
                <w:szCs w:val="24"/>
              </w:rPr>
              <w:t>使用市财政资金在东莞市行政区域内进行固定资产投资建设项目</w:t>
            </w:r>
            <w:r>
              <w:rPr>
                <w:rFonts w:hint="eastAsia" w:eastAsia="仿宋_GB2312" w:cs="仿宋_GB231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2632" w:type="dxa"/>
            <w:vMerge w:val="continue"/>
            <w:vAlign w:val="center"/>
          </w:tcPr>
          <w:p>
            <w:pPr>
              <w:jc w:val="center"/>
              <w:rPr>
                <w:rFonts w:ascii="Times New Roman" w:hAnsi="Times New Roman" w:eastAsia="仿宋_GB2312" w:cs="Times New Roman"/>
                <w:sz w:val="24"/>
                <w:szCs w:val="24"/>
              </w:rPr>
            </w:pP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240" w:firstLineChars="100"/>
              <w:jc w:val="left"/>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第八条变更工程价款按如下原则调整：（二）合同中只有类似于变更工程的价格，可在合理范围内参照类似价格变更合同价款。</w:t>
            </w:r>
          </w:p>
          <w:p>
            <w:pPr>
              <w:keepNext w:val="0"/>
              <w:keepLines w:val="0"/>
              <w:pageBreakBefore w:val="0"/>
              <w:widowControl w:val="0"/>
              <w:kinsoku/>
              <w:wordWrap/>
              <w:overflowPunct/>
              <w:topLinePunct w:val="0"/>
              <w:autoSpaceDE/>
              <w:autoSpaceDN/>
              <w:bidi w:val="0"/>
              <w:adjustRightInd/>
              <w:snapToGrid/>
              <w:spacing w:line="280" w:lineRule="exact"/>
              <w:ind w:firstLine="240" w:firstLineChars="100"/>
              <w:jc w:val="left"/>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建议：《建设工程工程量清单计价标准》GB/T50500-2024）第8.9.1项第（2）点规定“相同施工条件下实施类似项目特征的清单项目或类似施工条件下实施相同项目特征的清单项目，应采用类似清单项目的合同单价换算调整后的综合单价”，对类似项目的判定标准更加明确， 且可“换算调整”使用范围更广，使变更工程更贴更合同价更为合理。</w:t>
            </w:r>
          </w:p>
        </w:tc>
        <w:tc>
          <w:tcPr>
            <w:tcW w:w="4528" w:type="dxa"/>
            <w:vAlign w:val="center"/>
          </w:tcPr>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 xml:space="preserve">采纳。第八条（二）修改为：相同施工（工艺）条件下实施类似合同清单项目的，可采用类似合同清单项目的单价换算局部偏差确定变更工程综合单价。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2632" w:type="dxa"/>
            <w:vMerge w:val="continue"/>
            <w:vAlign w:val="center"/>
          </w:tcPr>
          <w:p>
            <w:pPr>
              <w:jc w:val="center"/>
              <w:rPr>
                <w:rFonts w:ascii="Times New Roman" w:hAnsi="Times New Roman" w:eastAsia="仿宋_GB2312" w:cs="Times New Roman"/>
                <w:sz w:val="24"/>
                <w:szCs w:val="24"/>
              </w:rPr>
            </w:pP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第八条（三）合同中没有适用的.........按省、市相关行业主管部门颁布的工程造价计价规定及基准日期的人工、材料价格计算预算价.............</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疑问：“工程造价计价规定”是否还是推行“定额计价”，与（GB/T50500-2024）第8.9.3项推行“按实施情况、市场价”有违背，是否合适？</w:t>
            </w:r>
          </w:p>
        </w:tc>
        <w:tc>
          <w:tcPr>
            <w:tcW w:w="45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回答：《建设工程工程量清单计价标准》（GB/T50500-2024）变更工程价款调整都是采用协商确定综合单价，但作为政府投资工程，为了减少协商纠纷，变更工程的计价需要有统一的计价原则，而且计价标准并没有禁止使用定额的规定，不存在违背计价标准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2632"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广东华城工程咨询有限公司</w:t>
            </w:r>
          </w:p>
        </w:tc>
        <w:tc>
          <w:tcPr>
            <w:tcW w:w="6015" w:type="dxa"/>
            <w:vAlign w:val="center"/>
          </w:tcPr>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第八条（四）工程变更.........调整措施项目费和其他项目费：</w:t>
            </w:r>
          </w:p>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1.凡可计算工程量的措施项目费........属绿色施工安全防护措施费范畴的，应单独列项不作浮动。</w:t>
            </w:r>
          </w:p>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疑问：“单独列项不作浮动”是不下浮还是指“此费包干不作调整”？请明确。</w:t>
            </w:r>
          </w:p>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另综合脚手架、施工现场围挡、不再列入绿色施工安全防护措施费。是属“可计算工程量的措施项目费”是可调整？</w:t>
            </w:r>
          </w:p>
          <w:p>
            <w:pPr>
              <w:jc w:val="left"/>
              <w:rPr>
                <w:rFonts w:hint="eastAsia" w:ascii="Times New Roman" w:hAnsi="Times New Roman" w:eastAsia="仿宋_GB2312" w:cs="Times New Roman"/>
                <w:sz w:val="24"/>
                <w:szCs w:val="24"/>
                <w:lang w:eastAsia="zh-CN"/>
              </w:rPr>
            </w:pPr>
          </w:p>
        </w:tc>
        <w:tc>
          <w:tcPr>
            <w:tcW w:w="4528" w:type="dxa"/>
            <w:vAlign w:val="center"/>
          </w:tcPr>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回答：所提出的疑问已对办法进行完善，</w:t>
            </w:r>
          </w:p>
          <w:p>
            <w:pPr>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删除“属绿色施工安全防护措施费范畴的，应单独列项不作浮动。”。</w:t>
            </w:r>
            <w:r>
              <w:rPr>
                <w:rFonts w:hint="eastAsia" w:ascii="Times New Roman" w:hAnsi="Times New Roman" w:eastAsia="仿宋_GB2312" w:cs="Times New Roman"/>
                <w:sz w:val="24"/>
                <w:szCs w:val="24"/>
                <w:lang w:eastAsia="zh-CN"/>
              </w:rPr>
              <w:t>综合脚手架、施工现场围挡属可计算工程量的措施项目费，办法明确非承包人原因导致措施项目实质性变化引起费用增减可以调整。</w:t>
            </w:r>
          </w:p>
          <w:p>
            <w:pPr>
              <w:jc w:val="left"/>
              <w:rPr>
                <w:rFonts w:hint="default"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2632" w:type="dxa"/>
            <w:vMerge w:val="continue"/>
            <w:vAlign w:val="center"/>
          </w:tcPr>
          <w:p>
            <w:pPr>
              <w:jc w:val="center"/>
              <w:rPr>
                <w:rFonts w:ascii="Times New Roman" w:hAnsi="Times New Roman" w:eastAsia="仿宋_GB2312" w:cs="Times New Roman"/>
                <w:sz w:val="24"/>
                <w:szCs w:val="24"/>
              </w:rPr>
            </w:pPr>
          </w:p>
        </w:tc>
        <w:tc>
          <w:tcPr>
            <w:tcW w:w="6015" w:type="dxa"/>
            <w:vAlign w:val="center"/>
          </w:tcPr>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第八条（四）工程变更.........调整措施项目费和其他项目费：</w:t>
            </w:r>
          </w:p>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2.凡按系数计算的措施项目费和其他项目费，除单独增加（或减少）单位工程等特殊情况外，合同执行过程中不作调整。</w:t>
            </w:r>
          </w:p>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问：“按系数计算的措施项目费”具体是哪些？是指“文明工地增加费”“夜间施工增加费”“赶工措施费”“工程超高增加费”这些？可改为“凡按项计算”？</w:t>
            </w:r>
          </w:p>
        </w:tc>
        <w:tc>
          <w:tcPr>
            <w:tcW w:w="4528" w:type="dxa"/>
            <w:vAlign w:val="center"/>
          </w:tcPr>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回答：</w:t>
            </w:r>
            <w:r>
              <w:rPr>
                <w:rFonts w:hint="eastAsia" w:ascii="Times New Roman" w:hAnsi="Times New Roman" w:eastAsia="仿宋_GB2312" w:cs="Times New Roman"/>
                <w:sz w:val="24"/>
                <w:szCs w:val="24"/>
                <w:lang w:val="en-US" w:eastAsia="zh-CN"/>
              </w:rPr>
              <w:t>修改为“</w:t>
            </w:r>
            <w:r>
              <w:rPr>
                <w:rFonts w:hint="default" w:ascii="Times New Roman" w:hAnsi="Times New Roman" w:eastAsia="仿宋_GB2312" w:cs="Times New Roman"/>
                <w:sz w:val="24"/>
                <w:szCs w:val="24"/>
                <w:lang w:val="en-US" w:eastAsia="zh-CN"/>
              </w:rPr>
              <w:t>凡按系数计算或以项为计量单位的措施项目费和其他项目费，除单独增加（或减少）单位工程等特殊情况外，合同执行过程中不作调整。</w:t>
            </w:r>
            <w:r>
              <w:rPr>
                <w:rFonts w:hint="eastAsia" w:ascii="Times New Roman" w:hAnsi="Times New Roman" w:eastAsia="仿宋_GB2312" w:cs="Times New Roman"/>
                <w:sz w:val="24"/>
                <w:szCs w:val="24"/>
                <w:lang w:eastAsia="zh-CN"/>
              </w:rPr>
              <w:t>按系数计算的措施项目费广东省建设工程标准定额站在《关于调整</w:t>
            </w:r>
            <w:r>
              <w:rPr>
                <w:rFonts w:hint="eastAsia" w:ascii="宋体" w:hAnsi="宋体" w:eastAsia="宋体" w:cs="宋体"/>
                <w:sz w:val="24"/>
                <w:szCs w:val="24"/>
                <w:lang w:eastAsia="zh-CN"/>
              </w:rPr>
              <w:t>〈</w:t>
            </w:r>
            <w:r>
              <w:rPr>
                <w:rFonts w:hint="eastAsia" w:ascii="Times New Roman" w:hAnsi="Times New Roman" w:eastAsia="仿宋_GB2312" w:cs="Times New Roman"/>
                <w:sz w:val="24"/>
                <w:szCs w:val="24"/>
                <w:lang w:eastAsia="zh-CN"/>
              </w:rPr>
              <w:t>广东省建设工程计价依据2018</w:t>
            </w:r>
            <w:r>
              <w:rPr>
                <w:rFonts w:hint="eastAsia" w:ascii="仿宋_GB2312" w:hAnsi="仿宋_GB2312" w:eastAsia="仿宋_GB2312" w:cs="仿宋_GB2312"/>
                <w:sz w:val="24"/>
                <w:szCs w:val="24"/>
                <w:lang w:eastAsia="zh-CN"/>
              </w:rPr>
              <w:t>〉</w:t>
            </w:r>
            <w:r>
              <w:rPr>
                <w:rFonts w:hint="eastAsia" w:ascii="Times New Roman" w:hAnsi="Times New Roman" w:eastAsia="仿宋_GB2312" w:cs="Times New Roman"/>
                <w:sz w:val="24"/>
                <w:szCs w:val="24"/>
                <w:lang w:eastAsia="zh-CN"/>
              </w:rPr>
              <w:t>计价规则的通知》（粤标定函〔2025〕22号）已明确。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2632" w:type="dxa"/>
            <w:vMerge w:val="continue"/>
            <w:vAlign w:val="center"/>
          </w:tcPr>
          <w:p>
            <w:pPr>
              <w:jc w:val="center"/>
              <w:rPr>
                <w:rFonts w:ascii="Times New Roman" w:hAnsi="Times New Roman" w:eastAsia="仿宋_GB2312" w:cs="Times New Roman"/>
                <w:sz w:val="24"/>
                <w:szCs w:val="24"/>
              </w:rPr>
            </w:pPr>
          </w:p>
        </w:tc>
        <w:tc>
          <w:tcPr>
            <w:tcW w:w="6015" w:type="dxa"/>
            <w:vAlign w:val="center"/>
          </w:tcPr>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第十四条</w:t>
            </w:r>
          </w:p>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（二）单项工程变更投资金额估算在100万元以上的，由建设单位论证后报市行业主管部门初审，再报市主管领导审批后实施。</w:t>
            </w:r>
          </w:p>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疑问：单项工程变更投资金额估算在100万以上的金额100万元是指变更工程净值（增减差额）？还是增加工程+减少工程绝对值的总额？</w:t>
            </w:r>
          </w:p>
        </w:tc>
        <w:tc>
          <w:tcPr>
            <w:tcW w:w="4528" w:type="dxa"/>
            <w:vAlign w:val="center"/>
          </w:tcPr>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回答：办法第三十四条对“单项工程变更投资金额”进行解悉，明确单项工程变更投资金额是指由相同原因引起的变更增加和变更减少相抵后的净值。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3" w:hRule="atLeast"/>
          <w:jc w:val="center"/>
        </w:trPr>
        <w:tc>
          <w:tcPr>
            <w:tcW w:w="817"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2632"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广东华城工程咨询有限公司</w:t>
            </w:r>
          </w:p>
        </w:tc>
        <w:tc>
          <w:tcPr>
            <w:tcW w:w="6015" w:type="dxa"/>
            <w:vAlign w:val="center"/>
          </w:tcPr>
          <w:p>
            <w:pPr>
              <w:ind w:firstLine="240" w:firstLineChars="100"/>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第二十二条 ...单项变更工程价款100万元。</w:t>
            </w:r>
          </w:p>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 xml:space="preserve">   疑问：单项变更工程价款100万元是指变更工程增减后净额？还是 增加工程+减少工程绝对值的总额？</w:t>
            </w:r>
          </w:p>
        </w:tc>
        <w:tc>
          <w:tcPr>
            <w:tcW w:w="4528" w:type="dxa"/>
            <w:vAlign w:val="center"/>
          </w:tcPr>
          <w:p>
            <w:pPr>
              <w:ind w:firstLine="240" w:firstLineChars="100"/>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回答：办法第三十四条对“单项工程变更投资金额”进行解悉，明确单项工程变更投资金额是指由相同原因引起的变更增加和变更减少相抵后的净值。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4" w:hRule="atLeast"/>
          <w:jc w:val="center"/>
        </w:trPr>
        <w:tc>
          <w:tcPr>
            <w:tcW w:w="817"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2632" w:type="dxa"/>
            <w:vMerge w:val="continue"/>
            <w:vAlign w:val="center"/>
          </w:tcPr>
          <w:p>
            <w:pPr>
              <w:jc w:val="center"/>
              <w:rPr>
                <w:rFonts w:ascii="Times New Roman" w:hAnsi="Times New Roman" w:eastAsia="仿宋_GB2312" w:cs="Times New Roman"/>
                <w:sz w:val="24"/>
                <w:szCs w:val="24"/>
              </w:rPr>
            </w:pPr>
          </w:p>
        </w:tc>
        <w:tc>
          <w:tcPr>
            <w:tcW w:w="6015" w:type="dxa"/>
            <w:vAlign w:val="center"/>
          </w:tcPr>
          <w:p>
            <w:pPr>
              <w:ind w:firstLine="240" w:firstLineChars="100"/>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第二十一条工程合同进度款支付：（四）采用固定下浮率发包方式的项目，...........按实际完成量的50%进行支付，累计支付比例乘以（1-报价浮动率）后工程造价的50%。</w:t>
            </w:r>
          </w:p>
          <w:p>
            <w:pPr>
              <w:ind w:firstLine="240" w:firstLineChars="100"/>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意见：对比“单价合同”“固定下浮率”合同支付比例太低。同样按已完成工程量计算进度款，“单价合同”可支付至 80%-90%，“固定下浮率”最多支付50%？，建议把“施工图预算未审核对应的工程量清单，按实际完成量的50%进行支付，累计支付比例不得超过暂定合同价扣减已审定预算乘以（1-报价浮动率）后工程造价的50%”删除，写太多且与前面已完成量可支付到80%有茅盾。</w:t>
            </w:r>
          </w:p>
        </w:tc>
        <w:tc>
          <w:tcPr>
            <w:tcW w:w="4528" w:type="dxa"/>
            <w:vAlign w:val="center"/>
          </w:tcPr>
          <w:p>
            <w:pPr>
              <w:ind w:firstLine="240" w:firstLineChars="100"/>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不采纳。正常的建设项目都是在施工图审查后才可以施工，在施工图预算没有审定之前按实际完成工程量的50%进行支付是为了给工程提前开工提供支付依据，施工图预算审定后才能正式确定合同价，按正常流程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2" w:hRule="atLeast"/>
          <w:jc w:val="center"/>
        </w:trPr>
        <w:tc>
          <w:tcPr>
            <w:tcW w:w="817"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2632" w:type="dxa"/>
            <w:vMerge w:val="continue"/>
            <w:vAlign w:val="center"/>
          </w:tcPr>
          <w:p>
            <w:pPr>
              <w:jc w:val="center"/>
              <w:rPr>
                <w:rFonts w:ascii="Times New Roman" w:hAnsi="Times New Roman" w:eastAsia="仿宋_GB2312" w:cs="Times New Roman"/>
                <w:sz w:val="24"/>
                <w:szCs w:val="24"/>
              </w:rPr>
            </w:pPr>
          </w:p>
        </w:tc>
        <w:tc>
          <w:tcPr>
            <w:tcW w:w="6015" w:type="dxa"/>
            <w:vAlign w:val="center"/>
          </w:tcPr>
          <w:p>
            <w:pPr>
              <w:ind w:firstLine="240" w:firstLineChars="100"/>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第二十六条.........属施工工程项目应委托有资质的造价咨询公司编制结算。</w:t>
            </w:r>
          </w:p>
          <w:p>
            <w:pPr>
              <w:ind w:firstLine="240" w:firstLineChars="100"/>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有误，资质已取消。</w:t>
            </w:r>
          </w:p>
        </w:tc>
        <w:tc>
          <w:tcPr>
            <w:tcW w:w="4528" w:type="dxa"/>
            <w:vAlign w:val="center"/>
          </w:tcPr>
          <w:p>
            <w:pPr>
              <w:ind w:firstLine="240" w:firstLineChars="100"/>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采纳。将“有资质的造价咨询公司”修改为“第三方造价咨询公司”。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2632"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广东华城工程咨询有限公司</w:t>
            </w:r>
          </w:p>
        </w:tc>
        <w:tc>
          <w:tcPr>
            <w:tcW w:w="6015" w:type="dxa"/>
            <w:vAlign w:val="center"/>
          </w:tcPr>
          <w:p>
            <w:pPr>
              <w:ind w:firstLine="240" w:firstLineChars="100"/>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第三十二条　镇（街道、园区）应参照本办法结合本级财政性资金投资基本建设项目的实际情况制定相应的工程价款管理办法，并报市财政局和市住建局备案后执行。</w:t>
            </w:r>
          </w:p>
          <w:p>
            <w:pPr>
              <w:ind w:firstLine="240" w:firstLineChars="100"/>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可改为：镇（街道、园区）结合本级财政性资金投资基本建设项目的实际情况，可参照执行。就不会违反“强制下级机关制定配套规范性文件”的规定。因为招标文件、施工合同都是统一执行此文件的，就明确“可参照执行”就好。</w:t>
            </w:r>
          </w:p>
        </w:tc>
        <w:tc>
          <w:tcPr>
            <w:tcW w:w="4528" w:type="dxa"/>
            <w:vAlign w:val="center"/>
          </w:tcPr>
          <w:p>
            <w:pPr>
              <w:jc w:val="lef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采纳。增加“各镇（街道、园区）可结合本级财政性资金投资基本建设项目的实际情况参照执行。”</w:t>
            </w:r>
          </w:p>
        </w:tc>
      </w:tr>
    </w:tbl>
    <w:p/>
    <w:sectPr>
      <w:pgSz w:w="16838" w:h="11906" w:orient="landscape"/>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F158A2"/>
    <w:rsid w:val="00003E86"/>
    <w:rsid w:val="000073EF"/>
    <w:rsid w:val="00007D65"/>
    <w:rsid w:val="000212F5"/>
    <w:rsid w:val="00026DBE"/>
    <w:rsid w:val="00026E9C"/>
    <w:rsid w:val="00034ECA"/>
    <w:rsid w:val="00036C30"/>
    <w:rsid w:val="00036DA5"/>
    <w:rsid w:val="00041FCD"/>
    <w:rsid w:val="000550BB"/>
    <w:rsid w:val="00060046"/>
    <w:rsid w:val="00060A0F"/>
    <w:rsid w:val="00063369"/>
    <w:rsid w:val="000749DD"/>
    <w:rsid w:val="00077206"/>
    <w:rsid w:val="00080FD9"/>
    <w:rsid w:val="0008113D"/>
    <w:rsid w:val="0009087B"/>
    <w:rsid w:val="0009502B"/>
    <w:rsid w:val="000A0E01"/>
    <w:rsid w:val="000B3B88"/>
    <w:rsid w:val="000B7850"/>
    <w:rsid w:val="000C4F73"/>
    <w:rsid w:val="000D0AD2"/>
    <w:rsid w:val="000D1E61"/>
    <w:rsid w:val="000D2835"/>
    <w:rsid w:val="000D680B"/>
    <w:rsid w:val="000D6D58"/>
    <w:rsid w:val="000D7118"/>
    <w:rsid w:val="000E0486"/>
    <w:rsid w:val="000E0674"/>
    <w:rsid w:val="000E2008"/>
    <w:rsid w:val="000E2B3A"/>
    <w:rsid w:val="000E329A"/>
    <w:rsid w:val="000E71E2"/>
    <w:rsid w:val="000F2B81"/>
    <w:rsid w:val="000F3430"/>
    <w:rsid w:val="000F38A6"/>
    <w:rsid w:val="000F5FFF"/>
    <w:rsid w:val="001023E5"/>
    <w:rsid w:val="001114A7"/>
    <w:rsid w:val="001139AA"/>
    <w:rsid w:val="0011707C"/>
    <w:rsid w:val="00117F43"/>
    <w:rsid w:val="001261BA"/>
    <w:rsid w:val="00133F61"/>
    <w:rsid w:val="001342E2"/>
    <w:rsid w:val="00137910"/>
    <w:rsid w:val="0014153A"/>
    <w:rsid w:val="00141A7F"/>
    <w:rsid w:val="00141B2B"/>
    <w:rsid w:val="001435B0"/>
    <w:rsid w:val="001461A0"/>
    <w:rsid w:val="0016335C"/>
    <w:rsid w:val="00173C10"/>
    <w:rsid w:val="001763B5"/>
    <w:rsid w:val="00180DE7"/>
    <w:rsid w:val="00181352"/>
    <w:rsid w:val="00181D1C"/>
    <w:rsid w:val="00187648"/>
    <w:rsid w:val="00190C2B"/>
    <w:rsid w:val="00191D9C"/>
    <w:rsid w:val="0019556F"/>
    <w:rsid w:val="00195CC8"/>
    <w:rsid w:val="001A5C55"/>
    <w:rsid w:val="001A7BEF"/>
    <w:rsid w:val="001B23B5"/>
    <w:rsid w:val="001B3D32"/>
    <w:rsid w:val="001B7AD9"/>
    <w:rsid w:val="001C0B10"/>
    <w:rsid w:val="001C30D8"/>
    <w:rsid w:val="001C4812"/>
    <w:rsid w:val="001C629E"/>
    <w:rsid w:val="001D15AD"/>
    <w:rsid w:val="001D257B"/>
    <w:rsid w:val="001D4D59"/>
    <w:rsid w:val="001E2404"/>
    <w:rsid w:val="001F0F24"/>
    <w:rsid w:val="001F2757"/>
    <w:rsid w:val="001F7367"/>
    <w:rsid w:val="00202A9D"/>
    <w:rsid w:val="00205C1F"/>
    <w:rsid w:val="00206F55"/>
    <w:rsid w:val="00211A6E"/>
    <w:rsid w:val="0021535E"/>
    <w:rsid w:val="00221C54"/>
    <w:rsid w:val="00224527"/>
    <w:rsid w:val="0022700F"/>
    <w:rsid w:val="00227D09"/>
    <w:rsid w:val="00233B03"/>
    <w:rsid w:val="00235303"/>
    <w:rsid w:val="0024448F"/>
    <w:rsid w:val="00245652"/>
    <w:rsid w:val="0025502B"/>
    <w:rsid w:val="00260242"/>
    <w:rsid w:val="00263F73"/>
    <w:rsid w:val="00267AA6"/>
    <w:rsid w:val="00270687"/>
    <w:rsid w:val="00273A20"/>
    <w:rsid w:val="002834A0"/>
    <w:rsid w:val="00291AF5"/>
    <w:rsid w:val="00294888"/>
    <w:rsid w:val="002A0231"/>
    <w:rsid w:val="002A6473"/>
    <w:rsid w:val="002B08BE"/>
    <w:rsid w:val="002B1327"/>
    <w:rsid w:val="002B6C2C"/>
    <w:rsid w:val="002C14D5"/>
    <w:rsid w:val="002C5359"/>
    <w:rsid w:val="002D0587"/>
    <w:rsid w:val="002D1C3A"/>
    <w:rsid w:val="002D6AC1"/>
    <w:rsid w:val="002E4E1A"/>
    <w:rsid w:val="002E6B21"/>
    <w:rsid w:val="002E73E5"/>
    <w:rsid w:val="002F6C50"/>
    <w:rsid w:val="00311DBD"/>
    <w:rsid w:val="003125B1"/>
    <w:rsid w:val="003133D2"/>
    <w:rsid w:val="0031539D"/>
    <w:rsid w:val="00322EF2"/>
    <w:rsid w:val="00327C6E"/>
    <w:rsid w:val="00331A13"/>
    <w:rsid w:val="003419B0"/>
    <w:rsid w:val="003425F9"/>
    <w:rsid w:val="00346444"/>
    <w:rsid w:val="003507F7"/>
    <w:rsid w:val="00351D4E"/>
    <w:rsid w:val="003523C9"/>
    <w:rsid w:val="0035262B"/>
    <w:rsid w:val="00353509"/>
    <w:rsid w:val="00356F37"/>
    <w:rsid w:val="00357222"/>
    <w:rsid w:val="00357986"/>
    <w:rsid w:val="00357F4A"/>
    <w:rsid w:val="00360733"/>
    <w:rsid w:val="00362F44"/>
    <w:rsid w:val="00367B65"/>
    <w:rsid w:val="00374243"/>
    <w:rsid w:val="003761F4"/>
    <w:rsid w:val="00376633"/>
    <w:rsid w:val="003833E1"/>
    <w:rsid w:val="00393957"/>
    <w:rsid w:val="00394EC1"/>
    <w:rsid w:val="003A04F7"/>
    <w:rsid w:val="003A19E1"/>
    <w:rsid w:val="003A341B"/>
    <w:rsid w:val="003A5356"/>
    <w:rsid w:val="003B0050"/>
    <w:rsid w:val="003B248C"/>
    <w:rsid w:val="003B5A5B"/>
    <w:rsid w:val="003B5C96"/>
    <w:rsid w:val="003C18AF"/>
    <w:rsid w:val="003C2386"/>
    <w:rsid w:val="003C2AED"/>
    <w:rsid w:val="003C499A"/>
    <w:rsid w:val="003D1DEA"/>
    <w:rsid w:val="003D3323"/>
    <w:rsid w:val="003D4D11"/>
    <w:rsid w:val="003E049C"/>
    <w:rsid w:val="003E3080"/>
    <w:rsid w:val="003E373A"/>
    <w:rsid w:val="003E401D"/>
    <w:rsid w:val="003E5B53"/>
    <w:rsid w:val="003F4060"/>
    <w:rsid w:val="003F47A9"/>
    <w:rsid w:val="004019C8"/>
    <w:rsid w:val="00404ED1"/>
    <w:rsid w:val="004126D7"/>
    <w:rsid w:val="00413232"/>
    <w:rsid w:val="00415EB9"/>
    <w:rsid w:val="00417C45"/>
    <w:rsid w:val="00420F97"/>
    <w:rsid w:val="0042219E"/>
    <w:rsid w:val="004303E1"/>
    <w:rsid w:val="00435E4D"/>
    <w:rsid w:val="00442FFC"/>
    <w:rsid w:val="004440C0"/>
    <w:rsid w:val="00446850"/>
    <w:rsid w:val="00446C5D"/>
    <w:rsid w:val="004475B2"/>
    <w:rsid w:val="00450B84"/>
    <w:rsid w:val="0046177B"/>
    <w:rsid w:val="00461D79"/>
    <w:rsid w:val="00470E64"/>
    <w:rsid w:val="00472EF8"/>
    <w:rsid w:val="00473E5D"/>
    <w:rsid w:val="00477502"/>
    <w:rsid w:val="00480950"/>
    <w:rsid w:val="00483C12"/>
    <w:rsid w:val="00486053"/>
    <w:rsid w:val="00487E81"/>
    <w:rsid w:val="00492547"/>
    <w:rsid w:val="00495AC6"/>
    <w:rsid w:val="004A16E3"/>
    <w:rsid w:val="004A22B0"/>
    <w:rsid w:val="004A3632"/>
    <w:rsid w:val="004B382D"/>
    <w:rsid w:val="004B6AF9"/>
    <w:rsid w:val="004D43BB"/>
    <w:rsid w:val="004E11B1"/>
    <w:rsid w:val="004E1CEA"/>
    <w:rsid w:val="004E1F7D"/>
    <w:rsid w:val="004E37D2"/>
    <w:rsid w:val="004E3C5A"/>
    <w:rsid w:val="004E5585"/>
    <w:rsid w:val="004E7722"/>
    <w:rsid w:val="004F619E"/>
    <w:rsid w:val="00500150"/>
    <w:rsid w:val="00500596"/>
    <w:rsid w:val="005020C9"/>
    <w:rsid w:val="00502AC3"/>
    <w:rsid w:val="005039B4"/>
    <w:rsid w:val="00506592"/>
    <w:rsid w:val="00510201"/>
    <w:rsid w:val="0051304F"/>
    <w:rsid w:val="0051763E"/>
    <w:rsid w:val="00520EED"/>
    <w:rsid w:val="005242B3"/>
    <w:rsid w:val="0052542F"/>
    <w:rsid w:val="00525B67"/>
    <w:rsid w:val="00531704"/>
    <w:rsid w:val="00532133"/>
    <w:rsid w:val="00533CA3"/>
    <w:rsid w:val="00536098"/>
    <w:rsid w:val="005378A7"/>
    <w:rsid w:val="0054024F"/>
    <w:rsid w:val="005418FD"/>
    <w:rsid w:val="00543A68"/>
    <w:rsid w:val="00551F5A"/>
    <w:rsid w:val="005555F4"/>
    <w:rsid w:val="00557D21"/>
    <w:rsid w:val="00561DBC"/>
    <w:rsid w:val="005725E6"/>
    <w:rsid w:val="00573D57"/>
    <w:rsid w:val="0057508E"/>
    <w:rsid w:val="00583B4A"/>
    <w:rsid w:val="00584AF6"/>
    <w:rsid w:val="00585362"/>
    <w:rsid w:val="0058594D"/>
    <w:rsid w:val="005939D7"/>
    <w:rsid w:val="00597D4B"/>
    <w:rsid w:val="005A0BBE"/>
    <w:rsid w:val="005A292B"/>
    <w:rsid w:val="005A3B8E"/>
    <w:rsid w:val="005A4D6E"/>
    <w:rsid w:val="005A6327"/>
    <w:rsid w:val="005A7284"/>
    <w:rsid w:val="005B4431"/>
    <w:rsid w:val="005C0118"/>
    <w:rsid w:val="005C074B"/>
    <w:rsid w:val="005C4269"/>
    <w:rsid w:val="005C5D59"/>
    <w:rsid w:val="005D0422"/>
    <w:rsid w:val="005D1500"/>
    <w:rsid w:val="005D7331"/>
    <w:rsid w:val="005E050B"/>
    <w:rsid w:val="005E2A82"/>
    <w:rsid w:val="005E5B71"/>
    <w:rsid w:val="005E7F1C"/>
    <w:rsid w:val="005F015D"/>
    <w:rsid w:val="005F1E51"/>
    <w:rsid w:val="005F2423"/>
    <w:rsid w:val="005F4EDA"/>
    <w:rsid w:val="005F7164"/>
    <w:rsid w:val="005F7280"/>
    <w:rsid w:val="00600200"/>
    <w:rsid w:val="0060109C"/>
    <w:rsid w:val="00602F3B"/>
    <w:rsid w:val="0060595C"/>
    <w:rsid w:val="006121E4"/>
    <w:rsid w:val="0061397E"/>
    <w:rsid w:val="006159AF"/>
    <w:rsid w:val="00621319"/>
    <w:rsid w:val="00626E50"/>
    <w:rsid w:val="00631C48"/>
    <w:rsid w:val="006324D7"/>
    <w:rsid w:val="00635658"/>
    <w:rsid w:val="00635C40"/>
    <w:rsid w:val="00636511"/>
    <w:rsid w:val="00647D19"/>
    <w:rsid w:val="0065228E"/>
    <w:rsid w:val="0065292F"/>
    <w:rsid w:val="00655F91"/>
    <w:rsid w:val="00657054"/>
    <w:rsid w:val="00657532"/>
    <w:rsid w:val="00661292"/>
    <w:rsid w:val="00662F2E"/>
    <w:rsid w:val="0066437C"/>
    <w:rsid w:val="006664AE"/>
    <w:rsid w:val="006703FC"/>
    <w:rsid w:val="006747E0"/>
    <w:rsid w:val="0067499A"/>
    <w:rsid w:val="006762F7"/>
    <w:rsid w:val="006767F1"/>
    <w:rsid w:val="00682E0D"/>
    <w:rsid w:val="00683B60"/>
    <w:rsid w:val="00686881"/>
    <w:rsid w:val="006A08D7"/>
    <w:rsid w:val="006B168A"/>
    <w:rsid w:val="006B2017"/>
    <w:rsid w:val="006B4144"/>
    <w:rsid w:val="006B6C6D"/>
    <w:rsid w:val="006C0048"/>
    <w:rsid w:val="006C39C4"/>
    <w:rsid w:val="006C71EF"/>
    <w:rsid w:val="006D085A"/>
    <w:rsid w:val="006D3F11"/>
    <w:rsid w:val="006E05E2"/>
    <w:rsid w:val="006E3C63"/>
    <w:rsid w:val="006E3D8C"/>
    <w:rsid w:val="006E50BB"/>
    <w:rsid w:val="006E6023"/>
    <w:rsid w:val="006E65B9"/>
    <w:rsid w:val="006E6BF7"/>
    <w:rsid w:val="006F3376"/>
    <w:rsid w:val="006F469B"/>
    <w:rsid w:val="006F48D5"/>
    <w:rsid w:val="006F7834"/>
    <w:rsid w:val="007075D3"/>
    <w:rsid w:val="007151AD"/>
    <w:rsid w:val="00716EFF"/>
    <w:rsid w:val="00721135"/>
    <w:rsid w:val="00721BCD"/>
    <w:rsid w:val="00723AAE"/>
    <w:rsid w:val="00724646"/>
    <w:rsid w:val="00726634"/>
    <w:rsid w:val="00731064"/>
    <w:rsid w:val="00743F32"/>
    <w:rsid w:val="00746B48"/>
    <w:rsid w:val="0075028A"/>
    <w:rsid w:val="00752824"/>
    <w:rsid w:val="00754902"/>
    <w:rsid w:val="00763D4B"/>
    <w:rsid w:val="00764279"/>
    <w:rsid w:val="007661AA"/>
    <w:rsid w:val="00771525"/>
    <w:rsid w:val="0077504D"/>
    <w:rsid w:val="0077764A"/>
    <w:rsid w:val="00783D64"/>
    <w:rsid w:val="00787327"/>
    <w:rsid w:val="00790FE7"/>
    <w:rsid w:val="007A114F"/>
    <w:rsid w:val="007A32B3"/>
    <w:rsid w:val="007A6C96"/>
    <w:rsid w:val="007B1B3A"/>
    <w:rsid w:val="007B245A"/>
    <w:rsid w:val="007B3E19"/>
    <w:rsid w:val="007B50DC"/>
    <w:rsid w:val="007B752D"/>
    <w:rsid w:val="007C4314"/>
    <w:rsid w:val="007C65A5"/>
    <w:rsid w:val="007C716F"/>
    <w:rsid w:val="007C78D9"/>
    <w:rsid w:val="007D0E8E"/>
    <w:rsid w:val="007D11A6"/>
    <w:rsid w:val="007D27E7"/>
    <w:rsid w:val="007E7BE1"/>
    <w:rsid w:val="007F2381"/>
    <w:rsid w:val="00803013"/>
    <w:rsid w:val="008030A8"/>
    <w:rsid w:val="00803AB1"/>
    <w:rsid w:val="0080483E"/>
    <w:rsid w:val="0080590A"/>
    <w:rsid w:val="00826CA6"/>
    <w:rsid w:val="00845C7B"/>
    <w:rsid w:val="00850065"/>
    <w:rsid w:val="0085175E"/>
    <w:rsid w:val="00851BC3"/>
    <w:rsid w:val="008547AA"/>
    <w:rsid w:val="00864EE2"/>
    <w:rsid w:val="008703AE"/>
    <w:rsid w:val="00873AE3"/>
    <w:rsid w:val="008751F4"/>
    <w:rsid w:val="008810FC"/>
    <w:rsid w:val="00881EB0"/>
    <w:rsid w:val="00882219"/>
    <w:rsid w:val="00884C01"/>
    <w:rsid w:val="008850DE"/>
    <w:rsid w:val="00892919"/>
    <w:rsid w:val="0089311E"/>
    <w:rsid w:val="008934EB"/>
    <w:rsid w:val="00893813"/>
    <w:rsid w:val="00897A17"/>
    <w:rsid w:val="008A0D3C"/>
    <w:rsid w:val="008A1BCB"/>
    <w:rsid w:val="008A5B58"/>
    <w:rsid w:val="008A6C42"/>
    <w:rsid w:val="008B12DF"/>
    <w:rsid w:val="008B170A"/>
    <w:rsid w:val="008B2F8C"/>
    <w:rsid w:val="008B3C23"/>
    <w:rsid w:val="008C0BE3"/>
    <w:rsid w:val="008C731C"/>
    <w:rsid w:val="008D1E16"/>
    <w:rsid w:val="008D40CA"/>
    <w:rsid w:val="008E24F7"/>
    <w:rsid w:val="008E5C82"/>
    <w:rsid w:val="008F2DC2"/>
    <w:rsid w:val="008F4B18"/>
    <w:rsid w:val="008F6B5F"/>
    <w:rsid w:val="0090348B"/>
    <w:rsid w:val="00915C6D"/>
    <w:rsid w:val="0092332D"/>
    <w:rsid w:val="0093066F"/>
    <w:rsid w:val="00931EC8"/>
    <w:rsid w:val="00934C4B"/>
    <w:rsid w:val="00935AF9"/>
    <w:rsid w:val="00937A44"/>
    <w:rsid w:val="00944816"/>
    <w:rsid w:val="0095010A"/>
    <w:rsid w:val="009510B2"/>
    <w:rsid w:val="009523D4"/>
    <w:rsid w:val="00954371"/>
    <w:rsid w:val="0095679E"/>
    <w:rsid w:val="00957CC2"/>
    <w:rsid w:val="009616C9"/>
    <w:rsid w:val="0096280C"/>
    <w:rsid w:val="00962F45"/>
    <w:rsid w:val="00962F91"/>
    <w:rsid w:val="00963242"/>
    <w:rsid w:val="00963E2B"/>
    <w:rsid w:val="00973D4D"/>
    <w:rsid w:val="009819B8"/>
    <w:rsid w:val="00982E8A"/>
    <w:rsid w:val="009842D5"/>
    <w:rsid w:val="00985FC7"/>
    <w:rsid w:val="009877CD"/>
    <w:rsid w:val="009960E5"/>
    <w:rsid w:val="0099688A"/>
    <w:rsid w:val="00997068"/>
    <w:rsid w:val="009B0077"/>
    <w:rsid w:val="009B7B28"/>
    <w:rsid w:val="009C0F9C"/>
    <w:rsid w:val="009D16A7"/>
    <w:rsid w:val="009D5BFC"/>
    <w:rsid w:val="009D6EC7"/>
    <w:rsid w:val="009E5779"/>
    <w:rsid w:val="009E7ACD"/>
    <w:rsid w:val="009F1762"/>
    <w:rsid w:val="009F23B8"/>
    <w:rsid w:val="009F30BA"/>
    <w:rsid w:val="00A01C1A"/>
    <w:rsid w:val="00A05C23"/>
    <w:rsid w:val="00A07F47"/>
    <w:rsid w:val="00A15786"/>
    <w:rsid w:val="00A17DB8"/>
    <w:rsid w:val="00A32C6B"/>
    <w:rsid w:val="00A43DDB"/>
    <w:rsid w:val="00A44B8E"/>
    <w:rsid w:val="00A44D0B"/>
    <w:rsid w:val="00A44F04"/>
    <w:rsid w:val="00A50097"/>
    <w:rsid w:val="00A55EE8"/>
    <w:rsid w:val="00A5745B"/>
    <w:rsid w:val="00A60B48"/>
    <w:rsid w:val="00A62935"/>
    <w:rsid w:val="00A6385E"/>
    <w:rsid w:val="00A64468"/>
    <w:rsid w:val="00A663E4"/>
    <w:rsid w:val="00A758F8"/>
    <w:rsid w:val="00A7641F"/>
    <w:rsid w:val="00A7776E"/>
    <w:rsid w:val="00A83BFA"/>
    <w:rsid w:val="00A842D8"/>
    <w:rsid w:val="00A90111"/>
    <w:rsid w:val="00A91D4E"/>
    <w:rsid w:val="00A95A0B"/>
    <w:rsid w:val="00AA79E1"/>
    <w:rsid w:val="00AB091C"/>
    <w:rsid w:val="00AB24B0"/>
    <w:rsid w:val="00AC04C3"/>
    <w:rsid w:val="00AC0BDD"/>
    <w:rsid w:val="00AC1D46"/>
    <w:rsid w:val="00AC233F"/>
    <w:rsid w:val="00AC56FE"/>
    <w:rsid w:val="00AC7BFE"/>
    <w:rsid w:val="00AD2A83"/>
    <w:rsid w:val="00AD496E"/>
    <w:rsid w:val="00AD4CA7"/>
    <w:rsid w:val="00AD57A2"/>
    <w:rsid w:val="00AD72F5"/>
    <w:rsid w:val="00AD7317"/>
    <w:rsid w:val="00AE1A79"/>
    <w:rsid w:val="00AE1BE4"/>
    <w:rsid w:val="00AE4B9C"/>
    <w:rsid w:val="00AF31C0"/>
    <w:rsid w:val="00B06932"/>
    <w:rsid w:val="00B112B0"/>
    <w:rsid w:val="00B24179"/>
    <w:rsid w:val="00B267C6"/>
    <w:rsid w:val="00B30C38"/>
    <w:rsid w:val="00B3564C"/>
    <w:rsid w:val="00B35BFB"/>
    <w:rsid w:val="00B37457"/>
    <w:rsid w:val="00B4178E"/>
    <w:rsid w:val="00B430E0"/>
    <w:rsid w:val="00B43BF5"/>
    <w:rsid w:val="00B45378"/>
    <w:rsid w:val="00B52C54"/>
    <w:rsid w:val="00B570F5"/>
    <w:rsid w:val="00B6108F"/>
    <w:rsid w:val="00B65B42"/>
    <w:rsid w:val="00B66703"/>
    <w:rsid w:val="00B6749B"/>
    <w:rsid w:val="00B67D09"/>
    <w:rsid w:val="00B81D19"/>
    <w:rsid w:val="00B84FA8"/>
    <w:rsid w:val="00B865B8"/>
    <w:rsid w:val="00B925C4"/>
    <w:rsid w:val="00BA3EB6"/>
    <w:rsid w:val="00BA7154"/>
    <w:rsid w:val="00BB0A0E"/>
    <w:rsid w:val="00BB2060"/>
    <w:rsid w:val="00BB3723"/>
    <w:rsid w:val="00BB43F0"/>
    <w:rsid w:val="00BC10B9"/>
    <w:rsid w:val="00BC25E9"/>
    <w:rsid w:val="00BC684A"/>
    <w:rsid w:val="00BC79D8"/>
    <w:rsid w:val="00BD0AE7"/>
    <w:rsid w:val="00BD1DCB"/>
    <w:rsid w:val="00BD4A7B"/>
    <w:rsid w:val="00BD516E"/>
    <w:rsid w:val="00BD75F0"/>
    <w:rsid w:val="00BE2BAD"/>
    <w:rsid w:val="00BE3010"/>
    <w:rsid w:val="00BE3C3F"/>
    <w:rsid w:val="00BE438F"/>
    <w:rsid w:val="00BE6A15"/>
    <w:rsid w:val="00BF0639"/>
    <w:rsid w:val="00BF1088"/>
    <w:rsid w:val="00BF1FC2"/>
    <w:rsid w:val="00BF30D4"/>
    <w:rsid w:val="00BF40C6"/>
    <w:rsid w:val="00BF4462"/>
    <w:rsid w:val="00BF57AF"/>
    <w:rsid w:val="00BF584F"/>
    <w:rsid w:val="00BF599A"/>
    <w:rsid w:val="00C12190"/>
    <w:rsid w:val="00C1485B"/>
    <w:rsid w:val="00C15AD6"/>
    <w:rsid w:val="00C16601"/>
    <w:rsid w:val="00C16C81"/>
    <w:rsid w:val="00C1736B"/>
    <w:rsid w:val="00C20461"/>
    <w:rsid w:val="00C220AA"/>
    <w:rsid w:val="00C2214D"/>
    <w:rsid w:val="00C26263"/>
    <w:rsid w:val="00C30521"/>
    <w:rsid w:val="00C31392"/>
    <w:rsid w:val="00C313D5"/>
    <w:rsid w:val="00C339F7"/>
    <w:rsid w:val="00C341C5"/>
    <w:rsid w:val="00C34F2B"/>
    <w:rsid w:val="00C429DC"/>
    <w:rsid w:val="00C46BD0"/>
    <w:rsid w:val="00C56705"/>
    <w:rsid w:val="00C57F2F"/>
    <w:rsid w:val="00C61FA2"/>
    <w:rsid w:val="00C66FC4"/>
    <w:rsid w:val="00C67F63"/>
    <w:rsid w:val="00C75982"/>
    <w:rsid w:val="00C75A97"/>
    <w:rsid w:val="00C765B9"/>
    <w:rsid w:val="00C85A50"/>
    <w:rsid w:val="00C950C6"/>
    <w:rsid w:val="00C96BC8"/>
    <w:rsid w:val="00CA1A33"/>
    <w:rsid w:val="00CA270C"/>
    <w:rsid w:val="00CA3102"/>
    <w:rsid w:val="00CA420A"/>
    <w:rsid w:val="00CA4782"/>
    <w:rsid w:val="00CA48ED"/>
    <w:rsid w:val="00CA7CEB"/>
    <w:rsid w:val="00CB5A35"/>
    <w:rsid w:val="00CB7087"/>
    <w:rsid w:val="00CC169F"/>
    <w:rsid w:val="00CC6E71"/>
    <w:rsid w:val="00CD265E"/>
    <w:rsid w:val="00CD7E1E"/>
    <w:rsid w:val="00CE168E"/>
    <w:rsid w:val="00CE358D"/>
    <w:rsid w:val="00CE4A5B"/>
    <w:rsid w:val="00CE4CB6"/>
    <w:rsid w:val="00CE66CB"/>
    <w:rsid w:val="00CF2B29"/>
    <w:rsid w:val="00D15881"/>
    <w:rsid w:val="00D22B23"/>
    <w:rsid w:val="00D23315"/>
    <w:rsid w:val="00D27A3B"/>
    <w:rsid w:val="00D27C6E"/>
    <w:rsid w:val="00D3046A"/>
    <w:rsid w:val="00D33677"/>
    <w:rsid w:val="00D437FF"/>
    <w:rsid w:val="00D47751"/>
    <w:rsid w:val="00D50ADF"/>
    <w:rsid w:val="00D51CA1"/>
    <w:rsid w:val="00D52393"/>
    <w:rsid w:val="00D550FB"/>
    <w:rsid w:val="00D5752E"/>
    <w:rsid w:val="00D62374"/>
    <w:rsid w:val="00D62ADD"/>
    <w:rsid w:val="00D63492"/>
    <w:rsid w:val="00D63D77"/>
    <w:rsid w:val="00D67C4C"/>
    <w:rsid w:val="00D749C6"/>
    <w:rsid w:val="00D74F51"/>
    <w:rsid w:val="00D77A13"/>
    <w:rsid w:val="00D80B58"/>
    <w:rsid w:val="00D80BE0"/>
    <w:rsid w:val="00D81196"/>
    <w:rsid w:val="00D83ED6"/>
    <w:rsid w:val="00D843D5"/>
    <w:rsid w:val="00D92D6D"/>
    <w:rsid w:val="00D94E83"/>
    <w:rsid w:val="00D9651C"/>
    <w:rsid w:val="00DA0175"/>
    <w:rsid w:val="00DA08F4"/>
    <w:rsid w:val="00DA199A"/>
    <w:rsid w:val="00DA24D3"/>
    <w:rsid w:val="00DA52F5"/>
    <w:rsid w:val="00DA7134"/>
    <w:rsid w:val="00DC059E"/>
    <w:rsid w:val="00DE67D2"/>
    <w:rsid w:val="00DE71B5"/>
    <w:rsid w:val="00DE73A3"/>
    <w:rsid w:val="00DE757F"/>
    <w:rsid w:val="00DF125A"/>
    <w:rsid w:val="00DF489E"/>
    <w:rsid w:val="00DF4C67"/>
    <w:rsid w:val="00DF6206"/>
    <w:rsid w:val="00DF795A"/>
    <w:rsid w:val="00E00715"/>
    <w:rsid w:val="00E07388"/>
    <w:rsid w:val="00E12870"/>
    <w:rsid w:val="00E12E95"/>
    <w:rsid w:val="00E13ECC"/>
    <w:rsid w:val="00E20199"/>
    <w:rsid w:val="00E2081D"/>
    <w:rsid w:val="00E25371"/>
    <w:rsid w:val="00E3159B"/>
    <w:rsid w:val="00E33031"/>
    <w:rsid w:val="00E3637C"/>
    <w:rsid w:val="00E36892"/>
    <w:rsid w:val="00E40CDC"/>
    <w:rsid w:val="00E419BE"/>
    <w:rsid w:val="00E4204D"/>
    <w:rsid w:val="00E42451"/>
    <w:rsid w:val="00E4534E"/>
    <w:rsid w:val="00E46BE6"/>
    <w:rsid w:val="00E53D75"/>
    <w:rsid w:val="00E572B5"/>
    <w:rsid w:val="00E64C94"/>
    <w:rsid w:val="00E70B2B"/>
    <w:rsid w:val="00E75B10"/>
    <w:rsid w:val="00E83CD0"/>
    <w:rsid w:val="00E8433B"/>
    <w:rsid w:val="00E854CC"/>
    <w:rsid w:val="00E947A3"/>
    <w:rsid w:val="00E97FC6"/>
    <w:rsid w:val="00EA22C8"/>
    <w:rsid w:val="00EB5E95"/>
    <w:rsid w:val="00EB6928"/>
    <w:rsid w:val="00EC1E78"/>
    <w:rsid w:val="00EC5F0F"/>
    <w:rsid w:val="00ED65D9"/>
    <w:rsid w:val="00EE384C"/>
    <w:rsid w:val="00EE7DE6"/>
    <w:rsid w:val="00EF0FC9"/>
    <w:rsid w:val="00EF328B"/>
    <w:rsid w:val="00F158A2"/>
    <w:rsid w:val="00F205DA"/>
    <w:rsid w:val="00F270AD"/>
    <w:rsid w:val="00F277B2"/>
    <w:rsid w:val="00F27C1C"/>
    <w:rsid w:val="00F32CE8"/>
    <w:rsid w:val="00F424EF"/>
    <w:rsid w:val="00F4399B"/>
    <w:rsid w:val="00F440ED"/>
    <w:rsid w:val="00F52BE9"/>
    <w:rsid w:val="00F60179"/>
    <w:rsid w:val="00F63783"/>
    <w:rsid w:val="00F65182"/>
    <w:rsid w:val="00F70639"/>
    <w:rsid w:val="00F70E39"/>
    <w:rsid w:val="00F7494B"/>
    <w:rsid w:val="00F87ADC"/>
    <w:rsid w:val="00F935E2"/>
    <w:rsid w:val="00F9792B"/>
    <w:rsid w:val="00FA21ED"/>
    <w:rsid w:val="00FA4BE6"/>
    <w:rsid w:val="00FB035B"/>
    <w:rsid w:val="00FB15D2"/>
    <w:rsid w:val="00FB5C13"/>
    <w:rsid w:val="00FC11B2"/>
    <w:rsid w:val="00FC154E"/>
    <w:rsid w:val="00FC2B66"/>
    <w:rsid w:val="00FC4B36"/>
    <w:rsid w:val="00FC4D2B"/>
    <w:rsid w:val="00FD3135"/>
    <w:rsid w:val="00FD331E"/>
    <w:rsid w:val="00FE1361"/>
    <w:rsid w:val="00FE14A3"/>
    <w:rsid w:val="00FE15B8"/>
    <w:rsid w:val="00FF415A"/>
    <w:rsid w:val="1FEE2145"/>
    <w:rsid w:val="2DB0123B"/>
    <w:rsid w:val="37AA46F4"/>
    <w:rsid w:val="389962F7"/>
    <w:rsid w:val="3BA97486"/>
    <w:rsid w:val="3C3A027C"/>
    <w:rsid w:val="3D867D71"/>
    <w:rsid w:val="46AF4DC9"/>
    <w:rsid w:val="58F11C15"/>
    <w:rsid w:val="5AB54349"/>
    <w:rsid w:val="66C97670"/>
    <w:rsid w:val="68A62814"/>
    <w:rsid w:val="6E746560"/>
    <w:rsid w:val="723C5E33"/>
    <w:rsid w:val="7BB5211A"/>
    <w:rsid w:val="7BEC16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Words>
  <Characters>125</Characters>
  <Lines>1</Lines>
  <Paragraphs>1</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2020-09-11T03:16:00Z</dcterms:created>
  <dc:creator>任继英</dc:creator>
  <cp:lastModifiedBy>任继英</cp:lastModifiedBy>
  <cp:lastPrinted>2020-10-20T08:21:00Z</cp:lastPrinted>
  <dcterms:modified xsi:type="dcterms:W3CDTF">2025-09-11T02:08:02Z</dcterms:modified>
  <dc:title>社会各界反馈意见情况表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